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B7C50" w14:textId="77777777" w:rsidR="0081699F" w:rsidRPr="00C92A7A" w:rsidRDefault="0081699F"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sz w:val="18"/>
          <w:szCs w:val="18"/>
          <w:u w:val="single"/>
        </w:rPr>
      </w:pPr>
      <w:r>
        <w:rPr>
          <w:rFonts w:ascii="Arial" w:hAnsi="Arial"/>
          <w:sz w:val="18"/>
          <w:u w:val="single"/>
        </w:rPr>
        <w:t>Leyenda</w:t>
      </w:r>
    </w:p>
    <w:p w14:paraId="797CCE4B" w14:textId="77777777" w:rsidR="0081699F" w:rsidRPr="00C92A7A" w:rsidRDefault="0081699F"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sz w:val="18"/>
          <w:szCs w:val="18"/>
        </w:rPr>
      </w:pPr>
      <w:r>
        <w:rPr>
          <w:rFonts w:ascii="Arial" w:hAnsi="Arial"/>
          <w:sz w:val="18"/>
        </w:rPr>
        <w:t>El texto en negro es texto común a todas las especificaciones que no debe modificarse ni eliminarse.</w:t>
      </w:r>
    </w:p>
    <w:p w14:paraId="44030D28" w14:textId="77777777" w:rsidR="0081699F" w:rsidRDefault="0081699F"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sz w:val="18"/>
          <w:szCs w:val="18"/>
        </w:rPr>
      </w:pPr>
      <w:r>
        <w:rPr>
          <w:rFonts w:ascii="Arial" w:hAnsi="Arial"/>
          <w:sz w:val="18"/>
        </w:rPr>
        <w:t>[El texto en negro que aparece entre corchetes] es texto que debe mantenerse pero que se enmendará según la especificación que se esté redactando.</w:t>
      </w:r>
    </w:p>
    <w:p w14:paraId="441C7F63" w14:textId="77777777" w:rsidR="003F1199" w:rsidRPr="00C92A7A" w:rsidRDefault="003F1199"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sz w:val="18"/>
          <w:szCs w:val="18"/>
        </w:rPr>
      </w:pPr>
      <w:r>
        <w:rPr>
          <w:rFonts w:ascii="Arial" w:hAnsi="Arial"/>
          <w:sz w:val="18"/>
        </w:rPr>
        <w:t>Los ejemplos de texto van precedidos de la expresión “por ejemplo”.</w:t>
      </w:r>
    </w:p>
    <w:p w14:paraId="144FDA3A" w14:textId="77777777" w:rsidR="0081699F" w:rsidRPr="00C92A7A" w:rsidRDefault="0081699F"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color w:val="0070C0"/>
          <w:sz w:val="18"/>
          <w:szCs w:val="18"/>
        </w:rPr>
      </w:pPr>
      <w:r>
        <w:rPr>
          <w:rFonts w:ascii="Arial" w:hAnsi="Arial"/>
          <w:color w:val="0070C0"/>
          <w:sz w:val="18"/>
        </w:rPr>
        <w:t>El texto en azul es material explicativo que deberá eliminar el redactor después de escribir una sección.</w:t>
      </w:r>
    </w:p>
    <w:p w14:paraId="56738DB4" w14:textId="05D6AF7D" w:rsidR="0081699F" w:rsidRPr="00C92A7A" w:rsidRDefault="00821035" w:rsidP="00280320">
      <w:pPr>
        <w:pBdr>
          <w:top w:val="single" w:sz="4" w:space="1" w:color="auto"/>
          <w:left w:val="single" w:sz="4" w:space="4" w:color="auto"/>
          <w:bottom w:val="single" w:sz="4" w:space="0" w:color="auto"/>
          <w:right w:val="single" w:sz="4" w:space="4" w:color="auto"/>
        </w:pBdr>
        <w:shd w:val="clear" w:color="auto" w:fill="F2F2F2"/>
        <w:spacing w:after="40"/>
        <w:rPr>
          <w:rFonts w:ascii="Arial" w:hAnsi="Arial"/>
          <w:sz w:val="18"/>
          <w:szCs w:val="18"/>
        </w:rPr>
      </w:pPr>
      <w:r>
        <w:rPr>
          <w:rFonts w:ascii="Arial" w:hAnsi="Arial"/>
          <w:sz w:val="18"/>
        </w:rPr>
        <w:t xml:space="preserve">Las instrucciones especiales para </w:t>
      </w:r>
      <w:r w:rsidR="008814FC">
        <w:rPr>
          <w:rFonts w:ascii="Arial" w:hAnsi="Arial"/>
          <w:sz w:val="18"/>
        </w:rPr>
        <w:t xml:space="preserve">el personal de </w:t>
      </w:r>
      <w:r>
        <w:rPr>
          <w:rFonts w:ascii="Arial" w:hAnsi="Arial"/>
          <w:sz w:val="18"/>
        </w:rPr>
        <w:t xml:space="preserve">la Secretaría de la CIPF se indican en </w:t>
      </w:r>
      <w:r w:rsidRPr="008814FC">
        <w:rPr>
          <w:rFonts w:ascii="Arial" w:hAnsi="Arial"/>
          <w:sz w:val="18"/>
          <w:highlight w:val="yellow"/>
        </w:rPr>
        <w:t>[texto resaltado entre corchetes]</w:t>
      </w:r>
      <w:r>
        <w:rPr>
          <w:rFonts w:ascii="Arial" w:hAnsi="Arial"/>
          <w:sz w:val="18"/>
        </w:rPr>
        <w:t>.</w:t>
      </w:r>
    </w:p>
    <w:p w14:paraId="2A1019CB" w14:textId="77777777" w:rsidR="00142E0E" w:rsidRPr="00C92A7A" w:rsidRDefault="00142E0E" w:rsidP="00280320">
      <w:pPr>
        <w:spacing w:before="120" w:after="60"/>
        <w:rPr>
          <w:b/>
          <w:bCs/>
        </w:rPr>
      </w:pPr>
      <w:r>
        <w:rPr>
          <w:b/>
        </w:rPr>
        <w:t>PROYECTO DE ESPECIFICACIÓN PARA LA NIMF: [Título de la NIMF] ([N.º de tema])</w:t>
      </w:r>
    </w:p>
    <w:p w14:paraId="46BA4DB3" w14:textId="089225D5" w:rsidR="00851D2D" w:rsidRPr="00F0232E" w:rsidRDefault="00851D2D" w:rsidP="00280320">
      <w:pPr>
        <w:pStyle w:val="IPPNormal"/>
        <w:spacing w:after="120"/>
        <w:rPr>
          <w:color w:val="0070C0"/>
        </w:rPr>
      </w:pPr>
      <w:r>
        <w:rPr>
          <w:color w:val="0070C0"/>
        </w:rPr>
        <w:t>Las especificaciones constituyen la primera etapa del proceso de elaboración del texto de una nueva norma. El contenido de la especificación cambia muy poco de su proyecto al formato aprobado. En esta plantilla se muestra lo que debería incluir una especificación.</w:t>
      </w:r>
    </w:p>
    <w:p w14:paraId="74439468" w14:textId="19F58346" w:rsidR="00851D2D" w:rsidRDefault="008814FC" w:rsidP="00280320">
      <w:pPr>
        <w:pStyle w:val="IPPNormal"/>
        <w:spacing w:after="120"/>
        <w:rPr>
          <w:color w:val="0070C0"/>
        </w:rPr>
      </w:pPr>
      <w:r>
        <w:rPr>
          <w:color w:val="0070C0"/>
        </w:rPr>
        <w:t xml:space="preserve">Utilícese </w:t>
      </w:r>
      <w:r w:rsidR="00011FFC">
        <w:rPr>
          <w:color w:val="0070C0"/>
        </w:rPr>
        <w:t>la numeración de párrafos manual tras la redacción inicial y antes de que se realicen cambios durante las reuniones.</w:t>
      </w:r>
    </w:p>
    <w:p w14:paraId="72BD944D" w14:textId="786C2796" w:rsidR="00A702DB" w:rsidRDefault="00A702DB" w:rsidP="00280320">
      <w:pPr>
        <w:pStyle w:val="IPPNormal"/>
        <w:spacing w:after="120"/>
        <w:rPr>
          <w:color w:val="0070C0"/>
        </w:rPr>
      </w:pPr>
      <w:r>
        <w:rPr>
          <w:color w:val="0070C0"/>
        </w:rPr>
        <w:t xml:space="preserve">Las especificaciones </w:t>
      </w:r>
      <w:r w:rsidR="00856F05">
        <w:rPr>
          <w:color w:val="0070C0"/>
        </w:rPr>
        <w:t xml:space="preserve">para </w:t>
      </w:r>
      <w:r>
        <w:rPr>
          <w:color w:val="0070C0"/>
        </w:rPr>
        <w:t>grupos técnicos también s</w:t>
      </w:r>
      <w:r w:rsidR="00856F05">
        <w:rPr>
          <w:color w:val="0070C0"/>
        </w:rPr>
        <w:t>iguen</w:t>
      </w:r>
      <w:r>
        <w:rPr>
          <w:color w:val="0070C0"/>
        </w:rPr>
        <w:t xml:space="preserve"> esta plantilla. En este caso, se eliminará la expresión </w:t>
      </w:r>
      <w:r w:rsidR="00B230EF">
        <w:rPr>
          <w:color w:val="0070C0"/>
        </w:rPr>
        <w:t>“</w:t>
      </w:r>
      <w:r>
        <w:rPr>
          <w:color w:val="0070C0"/>
        </w:rPr>
        <w:t>PARA LA NIMF</w:t>
      </w:r>
      <w:r w:rsidR="00B230EF">
        <w:rPr>
          <w:color w:val="0070C0"/>
        </w:rPr>
        <w:t>”</w:t>
      </w:r>
      <w:r>
        <w:rPr>
          <w:color w:val="0070C0"/>
        </w:rPr>
        <w:t xml:space="preserve"> en el encabezamiento en la parte superior del proyecto de especificación y se </w:t>
      </w:r>
      <w:r w:rsidR="00B230EF">
        <w:rPr>
          <w:color w:val="0070C0"/>
        </w:rPr>
        <w:t>indica</w:t>
      </w:r>
      <w:r>
        <w:rPr>
          <w:color w:val="0070C0"/>
        </w:rPr>
        <w:t>rá el título del grupo y su número de tema.</w:t>
      </w:r>
    </w:p>
    <w:p w14:paraId="5FA14574" w14:textId="77777777" w:rsidR="0081699F" w:rsidRDefault="00B037A2" w:rsidP="00B037A2">
      <w:pPr>
        <w:pStyle w:val="IPPSubheadSpace"/>
      </w:pPr>
      <w:r>
        <w:t>Estado de la elaboración</w:t>
      </w:r>
    </w:p>
    <w:p w14:paraId="48F24DBB" w14:textId="6FA3B731" w:rsidR="00B037A2" w:rsidRPr="0004626B" w:rsidRDefault="0081699F" w:rsidP="00280320">
      <w:pPr>
        <w:pStyle w:val="IPPNormal"/>
        <w:spacing w:after="120"/>
        <w:rPr>
          <w:color w:val="0070C0"/>
          <w:szCs w:val="18"/>
        </w:rPr>
      </w:pPr>
      <w:r>
        <w:rPr>
          <w:color w:val="0070C0"/>
        </w:rPr>
        <w:t>El título “Estado de la elaboración” se cambiará a “Historia de la publicación” una vez se haya aprobado la especificación y se volverá a redactar el contenido de acuerdo con el estilo establecido.</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802481" w:rsidRPr="00802481" w14:paraId="23ED6FDB" w14:textId="77777777" w:rsidTr="00280320">
        <w:trPr>
          <w:trHeight w:val="351"/>
        </w:trPr>
        <w:tc>
          <w:tcPr>
            <w:tcW w:w="9039" w:type="dxa"/>
            <w:gridSpan w:val="2"/>
          </w:tcPr>
          <w:p w14:paraId="129CC991" w14:textId="204FC8DD" w:rsidR="00802481" w:rsidRPr="003C1891" w:rsidRDefault="00802481" w:rsidP="00323B7E">
            <w:pPr>
              <w:pStyle w:val="IPPArialTable"/>
              <w:spacing w:before="40" w:after="40"/>
              <w:rPr>
                <w:szCs w:val="18"/>
              </w:rPr>
            </w:pPr>
            <w:r>
              <w:t xml:space="preserve">Esta no es una parte oficial de la especificación; después de la aprobación </w:t>
            </w:r>
            <w:r w:rsidR="00B71768">
              <w:t xml:space="preserve">de la especificación, esta parte </w:t>
            </w:r>
            <w:r>
              <w:t>será modificada por la Secretaría de la CIPF.</w:t>
            </w:r>
          </w:p>
        </w:tc>
      </w:tr>
      <w:tr w:rsidR="00802481" w:rsidRPr="00802481" w14:paraId="37CE2A71" w14:textId="77777777" w:rsidTr="00280320">
        <w:trPr>
          <w:trHeight w:val="306"/>
        </w:trPr>
        <w:tc>
          <w:tcPr>
            <w:tcW w:w="2273" w:type="dxa"/>
          </w:tcPr>
          <w:p w14:paraId="66E8F687" w14:textId="77777777" w:rsidR="00802481" w:rsidRPr="003C1891" w:rsidRDefault="00802481" w:rsidP="00280320">
            <w:pPr>
              <w:pStyle w:val="IPPArialTable"/>
              <w:spacing w:before="40" w:after="40"/>
              <w:rPr>
                <w:b/>
                <w:bCs/>
                <w:szCs w:val="18"/>
              </w:rPr>
            </w:pPr>
            <w:r>
              <w:rPr>
                <w:b/>
              </w:rPr>
              <w:t>Fecha de este documento</w:t>
            </w:r>
          </w:p>
        </w:tc>
        <w:tc>
          <w:tcPr>
            <w:tcW w:w="6766" w:type="dxa"/>
          </w:tcPr>
          <w:p w14:paraId="12468E4F" w14:textId="5C363C00" w:rsidR="00802481" w:rsidRPr="003C1891" w:rsidRDefault="00660AA6" w:rsidP="00E41E5D">
            <w:pPr>
              <w:pStyle w:val="IPPArialTable"/>
              <w:spacing w:before="40" w:after="40"/>
              <w:rPr>
                <w:szCs w:val="18"/>
              </w:rPr>
            </w:pPr>
            <w:r>
              <w:t>[202</w:t>
            </w:r>
            <w:r w:rsidR="00E41E5D">
              <w:t>3</w:t>
            </w:r>
            <w:r>
              <w:t>-</w:t>
            </w:r>
            <w:r w:rsidR="00E41E5D">
              <w:t>04</w:t>
            </w:r>
            <w:r>
              <w:t>-21]</w:t>
            </w:r>
          </w:p>
        </w:tc>
      </w:tr>
      <w:tr w:rsidR="00802481" w:rsidRPr="00802481" w14:paraId="5B44F068" w14:textId="77777777" w:rsidTr="00F254FE">
        <w:trPr>
          <w:trHeight w:val="286"/>
        </w:trPr>
        <w:tc>
          <w:tcPr>
            <w:tcW w:w="2273" w:type="dxa"/>
          </w:tcPr>
          <w:p w14:paraId="7B3EFE4C" w14:textId="77777777" w:rsidR="00802481" w:rsidRPr="003C1891" w:rsidRDefault="00802481" w:rsidP="00280320">
            <w:pPr>
              <w:pStyle w:val="IPPArialTable"/>
              <w:spacing w:before="40" w:after="40"/>
              <w:rPr>
                <w:b/>
                <w:bCs/>
                <w:szCs w:val="18"/>
              </w:rPr>
            </w:pPr>
            <w:r>
              <w:rPr>
                <w:b/>
              </w:rPr>
              <w:t>Categoría del documento</w:t>
            </w:r>
          </w:p>
        </w:tc>
        <w:tc>
          <w:tcPr>
            <w:tcW w:w="6766" w:type="dxa"/>
            <w:vAlign w:val="center"/>
          </w:tcPr>
          <w:p w14:paraId="3AAEB43A" w14:textId="75F79540" w:rsidR="00802481" w:rsidRPr="00C92A7A" w:rsidRDefault="002B777A" w:rsidP="00323B7E">
            <w:pPr>
              <w:pStyle w:val="IPPNormal"/>
              <w:spacing w:before="40" w:after="40"/>
              <w:jc w:val="left"/>
              <w:rPr>
                <w:rFonts w:ascii="Arial" w:hAnsi="Arial"/>
                <w:color w:val="0070C0"/>
                <w:sz w:val="18"/>
                <w:szCs w:val="18"/>
              </w:rPr>
            </w:pPr>
            <w:r>
              <w:rPr>
                <w:rFonts w:ascii="Arial" w:hAnsi="Arial"/>
                <w:sz w:val="18"/>
              </w:rPr>
              <w:t xml:space="preserve">Proyecto de especificación para una Norma </w:t>
            </w:r>
            <w:r w:rsidR="00323B7E">
              <w:rPr>
                <w:rFonts w:ascii="Arial" w:hAnsi="Arial"/>
                <w:sz w:val="18"/>
              </w:rPr>
              <w:t xml:space="preserve">internacional </w:t>
            </w:r>
            <w:r>
              <w:rPr>
                <w:rFonts w:ascii="Arial" w:hAnsi="Arial"/>
                <w:sz w:val="18"/>
              </w:rPr>
              <w:t xml:space="preserve">para </w:t>
            </w:r>
            <w:r w:rsidR="00323B7E">
              <w:rPr>
                <w:rFonts w:ascii="Arial" w:hAnsi="Arial"/>
                <w:sz w:val="18"/>
              </w:rPr>
              <w:t xml:space="preserve">medidas fitosanitarias </w:t>
            </w:r>
            <w:r>
              <w:rPr>
                <w:rFonts w:ascii="Arial" w:hAnsi="Arial"/>
                <w:sz w:val="18"/>
              </w:rPr>
              <w:t>(NIMF)</w:t>
            </w:r>
          </w:p>
        </w:tc>
      </w:tr>
      <w:tr w:rsidR="00802481" w:rsidRPr="00802481" w14:paraId="0DEECD2D" w14:textId="77777777" w:rsidTr="00280320">
        <w:trPr>
          <w:trHeight w:val="558"/>
        </w:trPr>
        <w:tc>
          <w:tcPr>
            <w:tcW w:w="2273" w:type="dxa"/>
          </w:tcPr>
          <w:p w14:paraId="7EC7AFBA" w14:textId="77777777" w:rsidR="00802481" w:rsidRPr="003C1891" w:rsidRDefault="00802481" w:rsidP="00280320">
            <w:pPr>
              <w:pStyle w:val="IPPArialTable"/>
              <w:spacing w:before="40" w:after="40"/>
              <w:rPr>
                <w:b/>
                <w:bCs/>
                <w:szCs w:val="18"/>
              </w:rPr>
            </w:pPr>
            <w:r>
              <w:rPr>
                <w:b/>
              </w:rPr>
              <w:t>Etapa actual del documento</w:t>
            </w:r>
          </w:p>
        </w:tc>
        <w:tc>
          <w:tcPr>
            <w:tcW w:w="6766" w:type="dxa"/>
          </w:tcPr>
          <w:p w14:paraId="4DAD6CA1" w14:textId="77777777" w:rsidR="002B777A" w:rsidRDefault="00851D2D" w:rsidP="00280320">
            <w:pPr>
              <w:pStyle w:val="IPPNormal"/>
              <w:spacing w:before="40" w:after="40"/>
              <w:rPr>
                <w:rFonts w:ascii="Arial" w:hAnsi="Arial"/>
                <w:color w:val="0070C0"/>
                <w:sz w:val="18"/>
                <w:szCs w:val="18"/>
              </w:rPr>
            </w:pPr>
            <w:r>
              <w:rPr>
                <w:rFonts w:ascii="Arial" w:hAnsi="Arial"/>
                <w:color w:val="0070C0"/>
                <w:sz w:val="18"/>
              </w:rPr>
              <w:t>Etapa en la que se encuentra el documento en el proceso de establecimiento de normas. Por ejemplo:</w:t>
            </w:r>
          </w:p>
          <w:p w14:paraId="112D3249" w14:textId="4925098F" w:rsidR="00802481" w:rsidRPr="00F254FE" w:rsidRDefault="00495BBC" w:rsidP="00280320">
            <w:pPr>
              <w:pStyle w:val="IPPNormal"/>
              <w:spacing w:before="40" w:after="40"/>
              <w:rPr>
                <w:rFonts w:ascii="Arial" w:hAnsi="Arial"/>
                <w:sz w:val="18"/>
                <w:szCs w:val="18"/>
              </w:rPr>
            </w:pPr>
            <w:r>
              <w:rPr>
                <w:rFonts w:ascii="Arial" w:hAnsi="Arial"/>
                <w:i/>
                <w:iCs/>
                <w:sz w:val="18"/>
              </w:rPr>
              <w:t>Para</w:t>
            </w:r>
            <w:r>
              <w:rPr>
                <w:rFonts w:ascii="Arial" w:hAnsi="Arial"/>
                <w:sz w:val="18"/>
              </w:rPr>
              <w:t xml:space="preserve"> primera consulta</w:t>
            </w:r>
          </w:p>
        </w:tc>
      </w:tr>
      <w:tr w:rsidR="00802481" w:rsidRPr="00802481" w14:paraId="5F1D98E7" w14:textId="77777777" w:rsidTr="00F031E3">
        <w:trPr>
          <w:trHeight w:val="491"/>
        </w:trPr>
        <w:tc>
          <w:tcPr>
            <w:tcW w:w="2273" w:type="dxa"/>
          </w:tcPr>
          <w:p w14:paraId="1D41E2BC" w14:textId="77777777" w:rsidR="00802481" w:rsidRPr="003C1891" w:rsidRDefault="00802481" w:rsidP="00280320">
            <w:pPr>
              <w:pStyle w:val="IPPArialTable"/>
              <w:spacing w:before="40" w:after="40"/>
              <w:rPr>
                <w:b/>
                <w:bCs/>
                <w:szCs w:val="18"/>
              </w:rPr>
            </w:pPr>
            <w:r>
              <w:rPr>
                <w:b/>
              </w:rPr>
              <w:t>Etapas principales</w:t>
            </w:r>
          </w:p>
        </w:tc>
        <w:tc>
          <w:tcPr>
            <w:tcW w:w="6766" w:type="dxa"/>
          </w:tcPr>
          <w:p w14:paraId="03A4004C" w14:textId="69C219F8" w:rsidR="00802481" w:rsidRPr="00C92A7A" w:rsidRDefault="00013203" w:rsidP="00280320">
            <w:pPr>
              <w:pStyle w:val="IPPNormal"/>
              <w:spacing w:before="40" w:after="40"/>
              <w:rPr>
                <w:rFonts w:ascii="Arial" w:hAnsi="Arial"/>
                <w:color w:val="0070C0"/>
                <w:sz w:val="18"/>
                <w:szCs w:val="18"/>
              </w:rPr>
            </w:pPr>
            <w:r>
              <w:rPr>
                <w:rFonts w:ascii="Arial" w:hAnsi="Arial"/>
                <w:color w:val="0070C0"/>
                <w:sz w:val="18"/>
              </w:rPr>
              <w:t>Todas las etapas más importantes del proceso de establecimiento de normas.</w:t>
            </w:r>
          </w:p>
          <w:p w14:paraId="45AC075A" w14:textId="566B24C5" w:rsidR="00A8699A" w:rsidRPr="003C1891" w:rsidRDefault="00013203" w:rsidP="00280320">
            <w:pPr>
              <w:pStyle w:val="IPPNormal"/>
              <w:spacing w:before="40" w:after="40"/>
              <w:rPr>
                <w:rFonts w:ascii="Arial" w:hAnsi="Arial"/>
                <w:color w:val="0070C0"/>
                <w:sz w:val="18"/>
                <w:szCs w:val="18"/>
              </w:rPr>
            </w:pPr>
            <w:r>
              <w:rPr>
                <w:rFonts w:ascii="Arial" w:hAnsi="Arial"/>
                <w:color w:val="0070C0"/>
                <w:sz w:val="18"/>
              </w:rPr>
              <w:t>Todas las etapas en las que se remitió el documento al Comité de Normas (CN) y a grupos de expertos (grupos reducidos virtuales del CN y grupos de redacción de expertos —como grupos de trabajo de expertos [GTE] y grupos técnicos [GT]— que celebran tanto reuniones virtuales como presenciales).</w:t>
            </w:r>
          </w:p>
          <w:p w14:paraId="73A2D3D2" w14:textId="626F7666" w:rsidR="002B777A" w:rsidRDefault="00802481" w:rsidP="00280320">
            <w:pPr>
              <w:pStyle w:val="IPPNormal"/>
              <w:spacing w:before="40" w:after="40"/>
              <w:rPr>
                <w:rFonts w:ascii="Arial" w:hAnsi="Arial"/>
                <w:color w:val="0070C0"/>
                <w:sz w:val="18"/>
                <w:szCs w:val="18"/>
              </w:rPr>
            </w:pPr>
            <w:r>
              <w:rPr>
                <w:rFonts w:ascii="Arial" w:hAnsi="Arial"/>
                <w:color w:val="0070C0"/>
                <w:sz w:val="18"/>
              </w:rPr>
              <w:t>En las principales etapas, los proyectos pueden ser: aplazados (no se realizan cambios durante la reunión); comentados (no se llevó a cabo una revisión</w:t>
            </w:r>
            <w:r w:rsidR="00B71768">
              <w:rPr>
                <w:rFonts w:ascii="Arial" w:hAnsi="Arial"/>
                <w:color w:val="0070C0"/>
                <w:sz w:val="18"/>
              </w:rPr>
              <w:t>,</w:t>
            </w:r>
            <w:r>
              <w:rPr>
                <w:rFonts w:ascii="Arial" w:hAnsi="Arial"/>
                <w:color w:val="0070C0"/>
                <w:sz w:val="18"/>
              </w:rPr>
              <w:t xml:space="preserve"> pero se añadieron comentarios); o revisados (se modificó el texto). Por ejemplo:</w:t>
            </w:r>
          </w:p>
          <w:p w14:paraId="48A50E1C" w14:textId="7DB1F06E" w:rsidR="002B777A" w:rsidRPr="00F254FE" w:rsidRDefault="002B777A" w:rsidP="00EA3866">
            <w:pPr>
              <w:pStyle w:val="IPPNormal"/>
              <w:spacing w:before="40" w:after="0"/>
              <w:rPr>
                <w:rFonts w:ascii="Arial" w:hAnsi="Arial"/>
                <w:sz w:val="18"/>
              </w:rPr>
            </w:pPr>
            <w:r>
              <w:rPr>
                <w:rFonts w:ascii="Arial" w:hAnsi="Arial"/>
                <w:sz w:val="18"/>
              </w:rPr>
              <w:t xml:space="preserve">2009-11: El Comité de Normas (CN) añadió el tema </w:t>
            </w:r>
            <w:r w:rsidR="0055542C" w:rsidRPr="0055542C">
              <w:rPr>
                <w:rFonts w:ascii="Arial" w:hAnsi="Arial"/>
                <w:i/>
                <w:iCs/>
                <w:sz w:val="18"/>
              </w:rPr>
              <w:t>T</w:t>
            </w:r>
            <w:r w:rsidRPr="0055542C">
              <w:rPr>
                <w:rFonts w:ascii="Arial" w:hAnsi="Arial"/>
                <w:i/>
                <w:iCs/>
                <w:sz w:val="18"/>
              </w:rPr>
              <w:t>ítulo</w:t>
            </w:r>
            <w:r>
              <w:rPr>
                <w:rFonts w:ascii="Arial" w:hAnsi="Arial"/>
                <w:sz w:val="18"/>
              </w:rPr>
              <w:t xml:space="preserve"> </w:t>
            </w:r>
            <w:r w:rsidR="0055542C">
              <w:rPr>
                <w:rFonts w:ascii="Arial" w:hAnsi="Arial"/>
                <w:sz w:val="18"/>
              </w:rPr>
              <w:t>(</w:t>
            </w:r>
            <w:r>
              <w:rPr>
                <w:rFonts w:ascii="Arial" w:hAnsi="Arial"/>
                <w:sz w:val="18"/>
              </w:rPr>
              <w:t>número de tema).</w:t>
            </w:r>
          </w:p>
          <w:p w14:paraId="7F1B1485" w14:textId="696B0756" w:rsidR="00544697" w:rsidRPr="00F254FE" w:rsidRDefault="00802481" w:rsidP="00EA3866">
            <w:pPr>
              <w:pStyle w:val="IPPNormal"/>
              <w:spacing w:after="0"/>
              <w:rPr>
                <w:rFonts w:ascii="Arial" w:hAnsi="Arial"/>
                <w:sz w:val="18"/>
                <w:szCs w:val="18"/>
              </w:rPr>
            </w:pPr>
            <w:r>
              <w:rPr>
                <w:rFonts w:ascii="Arial" w:hAnsi="Arial"/>
                <w:sz w:val="18"/>
              </w:rPr>
              <w:t>2012-11: El CN remitió comentarios al Grupo técnico sobre el glosario</w:t>
            </w:r>
            <w:r w:rsidR="00C77439">
              <w:rPr>
                <w:rFonts w:ascii="Arial" w:hAnsi="Arial"/>
                <w:sz w:val="18"/>
              </w:rPr>
              <w:t xml:space="preserve"> </w:t>
            </w:r>
            <w:r w:rsidR="00C77439" w:rsidRPr="00C77439">
              <w:rPr>
                <w:rFonts w:ascii="Arial" w:hAnsi="Arial"/>
                <w:sz w:val="18"/>
              </w:rPr>
              <w:t>(GTG)</w:t>
            </w:r>
            <w:r>
              <w:rPr>
                <w:rFonts w:ascii="Arial" w:hAnsi="Arial"/>
                <w:sz w:val="18"/>
              </w:rPr>
              <w:t>.</w:t>
            </w:r>
          </w:p>
          <w:p w14:paraId="4CEF360A" w14:textId="77777777" w:rsidR="002B777A" w:rsidRPr="00F254FE" w:rsidRDefault="002B777A" w:rsidP="00EA3866">
            <w:pPr>
              <w:pStyle w:val="IPPNormal"/>
              <w:spacing w:after="40"/>
              <w:rPr>
                <w:rFonts w:ascii="Arial" w:hAnsi="Arial"/>
                <w:sz w:val="18"/>
                <w:szCs w:val="18"/>
              </w:rPr>
            </w:pPr>
            <w:r>
              <w:rPr>
                <w:rFonts w:ascii="Arial" w:hAnsi="Arial"/>
                <w:sz w:val="18"/>
              </w:rPr>
              <w:t>2013-05: Aplazado por el CN.</w:t>
            </w:r>
          </w:p>
          <w:p w14:paraId="0FF90410" w14:textId="602A22BC" w:rsidR="00802481" w:rsidRPr="00851D2D" w:rsidRDefault="00851D2D" w:rsidP="00667614">
            <w:pPr>
              <w:pStyle w:val="IPPNormal"/>
              <w:spacing w:before="40" w:after="40"/>
              <w:rPr>
                <w:rFonts w:ascii="Arial" w:hAnsi="Arial"/>
                <w:color w:val="0070C0"/>
                <w:sz w:val="18"/>
              </w:rPr>
            </w:pPr>
            <w:r>
              <w:rPr>
                <w:rFonts w:ascii="Arial" w:hAnsi="Arial"/>
                <w:color w:val="0070C0"/>
                <w:sz w:val="18"/>
              </w:rPr>
              <w:t>Téngase presente que, en la sección relativa al estado de la elaboración, las abreviaturas y siglas de las reuniones de la CIPF y las etapas del documento deberían figurar en su forma extensa la primera vez que aparecen (salvo CMF, CIPF y NIMF, que se podrán utilizar sin de</w:t>
            </w:r>
            <w:r w:rsidR="0055542C">
              <w:rPr>
                <w:rFonts w:ascii="Arial" w:hAnsi="Arial"/>
                <w:color w:val="0070C0"/>
                <w:sz w:val="18"/>
              </w:rPr>
              <w:t>sarrollar</w:t>
            </w:r>
            <w:r>
              <w:rPr>
                <w:rFonts w:ascii="Arial" w:hAnsi="Arial"/>
                <w:color w:val="0070C0"/>
                <w:sz w:val="18"/>
              </w:rPr>
              <w:t>).</w:t>
            </w:r>
          </w:p>
        </w:tc>
      </w:tr>
      <w:tr w:rsidR="00802481" w:rsidRPr="00802481" w14:paraId="47B37CE2" w14:textId="77777777" w:rsidTr="00280320">
        <w:trPr>
          <w:trHeight w:val="65"/>
        </w:trPr>
        <w:tc>
          <w:tcPr>
            <w:tcW w:w="2273" w:type="dxa"/>
          </w:tcPr>
          <w:p w14:paraId="0D7FAD83" w14:textId="77777777" w:rsidR="00802481" w:rsidRPr="003C1891" w:rsidRDefault="00802481" w:rsidP="00280320">
            <w:pPr>
              <w:pStyle w:val="IPPArialTable"/>
              <w:spacing w:before="40" w:after="40"/>
              <w:rPr>
                <w:b/>
                <w:bCs/>
                <w:szCs w:val="18"/>
              </w:rPr>
            </w:pPr>
            <w:r>
              <w:rPr>
                <w:b/>
              </w:rPr>
              <w:t>Cronología de los administradores</w:t>
            </w:r>
          </w:p>
        </w:tc>
        <w:tc>
          <w:tcPr>
            <w:tcW w:w="6766" w:type="dxa"/>
          </w:tcPr>
          <w:p w14:paraId="76303B06" w14:textId="0AF1E60B" w:rsidR="00802481" w:rsidRPr="00C92A7A" w:rsidRDefault="00013203" w:rsidP="00280320">
            <w:pPr>
              <w:pStyle w:val="IPPNormal"/>
              <w:spacing w:before="40" w:after="40"/>
              <w:rPr>
                <w:rFonts w:ascii="Arial" w:hAnsi="Arial"/>
                <w:color w:val="0070C0"/>
                <w:sz w:val="18"/>
                <w:szCs w:val="18"/>
              </w:rPr>
            </w:pPr>
            <w:r>
              <w:rPr>
                <w:rFonts w:ascii="Arial" w:hAnsi="Arial"/>
                <w:color w:val="0070C0"/>
                <w:sz w:val="18"/>
              </w:rPr>
              <w:t>Nombres de los administradores principales y adjuntos asignados al proyecto, con la fecha y la reunión en que fueron designados, el nombre, el código del país (</w:t>
            </w:r>
            <w:r w:rsidR="00667614">
              <w:rPr>
                <w:rFonts w:ascii="Arial" w:hAnsi="Arial"/>
                <w:color w:val="0070C0"/>
                <w:sz w:val="18"/>
              </w:rPr>
              <w:t>ISO </w:t>
            </w:r>
            <w:r>
              <w:rPr>
                <w:rFonts w:ascii="Arial" w:hAnsi="Arial"/>
                <w:color w:val="0070C0"/>
                <w:sz w:val="18"/>
              </w:rPr>
              <w:t>3166-</w:t>
            </w:r>
            <w:r w:rsidR="00667614">
              <w:rPr>
                <w:rFonts w:ascii="Arial" w:hAnsi="Arial"/>
                <w:color w:val="0070C0"/>
                <w:sz w:val="18"/>
              </w:rPr>
              <w:t>1 </w:t>
            </w:r>
            <w:r>
              <w:rPr>
                <w:rFonts w:ascii="Arial" w:hAnsi="Arial"/>
                <w:color w:val="0070C0"/>
                <w:sz w:val="18"/>
              </w:rPr>
              <w:t xml:space="preserve">alfa-2) y la función (administrador principal o administrador adjunto). Los nombres se indican en orden cronológico inverso, es decir, empezando </w:t>
            </w:r>
            <w:r w:rsidR="00E330B3">
              <w:rPr>
                <w:rFonts w:ascii="Arial" w:hAnsi="Arial"/>
                <w:color w:val="0070C0"/>
                <w:sz w:val="18"/>
              </w:rPr>
              <w:t>por</w:t>
            </w:r>
            <w:r>
              <w:rPr>
                <w:rFonts w:ascii="Arial" w:hAnsi="Arial"/>
                <w:color w:val="0070C0"/>
                <w:sz w:val="18"/>
              </w:rPr>
              <w:t xml:space="preserve"> los administradores </w:t>
            </w:r>
            <w:r w:rsidR="00E330B3">
              <w:rPr>
                <w:rFonts w:ascii="Arial" w:hAnsi="Arial"/>
                <w:color w:val="0070C0"/>
                <w:sz w:val="18"/>
              </w:rPr>
              <w:t>en activo</w:t>
            </w:r>
            <w:r>
              <w:rPr>
                <w:rFonts w:ascii="Arial" w:hAnsi="Arial"/>
                <w:color w:val="0070C0"/>
                <w:sz w:val="18"/>
              </w:rPr>
              <w:t xml:space="preserve"> (primero el administrador principal y luego el adjunto). Por ejemplo:</w:t>
            </w:r>
          </w:p>
          <w:p w14:paraId="33555D7A" w14:textId="2E34E5B6" w:rsidR="00802481" w:rsidRPr="00F254FE" w:rsidRDefault="00802481" w:rsidP="00EA3866">
            <w:pPr>
              <w:pStyle w:val="IPPArialTable"/>
              <w:spacing w:before="40" w:after="0"/>
              <w:rPr>
                <w:szCs w:val="18"/>
              </w:rPr>
            </w:pPr>
            <w:r>
              <w:t>2008-11 CN: Sr. </w:t>
            </w:r>
            <w:proofErr w:type="spellStart"/>
            <w:r>
              <w:t>Dwi</w:t>
            </w:r>
            <w:proofErr w:type="spellEnd"/>
            <w:r>
              <w:t xml:space="preserve"> SETIAWAN (ID, administrador principal)</w:t>
            </w:r>
          </w:p>
          <w:p w14:paraId="6CEFD461" w14:textId="3E5D3D53" w:rsidR="00802481" w:rsidRPr="00C92A7A" w:rsidRDefault="00802481" w:rsidP="00EA3866">
            <w:pPr>
              <w:pStyle w:val="IPPArialTable"/>
              <w:spacing w:before="0" w:after="40"/>
              <w:rPr>
                <w:color w:val="0070C0"/>
                <w:szCs w:val="18"/>
              </w:rPr>
            </w:pPr>
            <w:r>
              <w:t>2012-04 CN: Sra. </w:t>
            </w:r>
            <w:proofErr w:type="spellStart"/>
            <w:r>
              <w:t>Julie</w:t>
            </w:r>
            <w:proofErr w:type="spellEnd"/>
            <w:r>
              <w:t xml:space="preserve"> ALIAGA (US, administradora adjunta)</w:t>
            </w:r>
          </w:p>
        </w:tc>
      </w:tr>
      <w:tr w:rsidR="00802481" w:rsidRPr="00802481" w14:paraId="66DF4BF5" w14:textId="77777777" w:rsidTr="00F031E3">
        <w:trPr>
          <w:trHeight w:val="491"/>
        </w:trPr>
        <w:tc>
          <w:tcPr>
            <w:tcW w:w="2273" w:type="dxa"/>
          </w:tcPr>
          <w:p w14:paraId="4BCAB674" w14:textId="77777777" w:rsidR="00802481" w:rsidRPr="003C1891" w:rsidRDefault="00802481" w:rsidP="00280320">
            <w:pPr>
              <w:pStyle w:val="IPPArialTable"/>
              <w:spacing w:before="40" w:after="40"/>
              <w:rPr>
                <w:b/>
                <w:bCs/>
                <w:szCs w:val="18"/>
              </w:rPr>
            </w:pPr>
            <w:r>
              <w:rPr>
                <w:b/>
              </w:rPr>
              <w:lastRenderedPageBreak/>
              <w:t>Notas</w:t>
            </w:r>
          </w:p>
        </w:tc>
        <w:tc>
          <w:tcPr>
            <w:tcW w:w="6766" w:type="dxa"/>
          </w:tcPr>
          <w:p w14:paraId="3AC65D80" w14:textId="05989EE3" w:rsidR="0081699F" w:rsidRDefault="00B60DDB" w:rsidP="00280320">
            <w:pPr>
              <w:pStyle w:val="IPPNormal"/>
              <w:spacing w:before="40" w:after="40"/>
              <w:rPr>
                <w:rFonts w:ascii="Arial" w:hAnsi="Arial"/>
                <w:color w:val="0070C0"/>
                <w:sz w:val="18"/>
                <w:szCs w:val="18"/>
              </w:rPr>
            </w:pPr>
            <w:r>
              <w:rPr>
                <w:rFonts w:ascii="Arial" w:hAnsi="Arial"/>
                <w:color w:val="0070C0"/>
                <w:sz w:val="18"/>
              </w:rPr>
              <w:t>Información que la Secretaría de la CIPF debe registrar y que no está incluida en las principales etapas (es decir, la corrección, el formateado, los debates mantenidos por correo electrónico y otras notas que deban tenerse en cuenta al examinar el proyecto) en el momento de presentación en una reunión.</w:t>
            </w:r>
          </w:p>
          <w:p w14:paraId="3431F2CF" w14:textId="0F921E4F" w:rsidR="00544697" w:rsidRPr="00EA3866" w:rsidRDefault="00544697" w:rsidP="00EA3866">
            <w:pPr>
              <w:pStyle w:val="IPPNormal"/>
              <w:spacing w:before="40" w:after="40"/>
              <w:rPr>
                <w:rFonts w:ascii="Arial" w:hAnsi="Arial"/>
                <w:color w:val="0070C0"/>
                <w:sz w:val="18"/>
              </w:rPr>
            </w:pPr>
            <w:r>
              <w:rPr>
                <w:rFonts w:ascii="Arial" w:hAnsi="Arial"/>
                <w:color w:val="0070C0"/>
                <w:sz w:val="18"/>
              </w:rPr>
              <w:t>Esta sección se mantendrá en los proyectos que se remitan para consulta</w:t>
            </w:r>
            <w:r w:rsidR="009B123C">
              <w:rPr>
                <w:rFonts w:ascii="Arial" w:hAnsi="Arial"/>
                <w:color w:val="0070C0"/>
                <w:sz w:val="18"/>
              </w:rPr>
              <w:t>,</w:t>
            </w:r>
            <w:r>
              <w:rPr>
                <w:rFonts w:ascii="Arial" w:hAnsi="Arial"/>
                <w:color w:val="0070C0"/>
                <w:sz w:val="18"/>
              </w:rPr>
              <w:t xml:space="preserve"> pero se borrará antes de su aprobación.</w:t>
            </w:r>
            <w:r w:rsidR="00EA3866">
              <w:rPr>
                <w:rFonts w:ascii="Arial" w:hAnsi="Arial"/>
                <w:color w:val="0070C0"/>
                <w:sz w:val="18"/>
              </w:rPr>
              <w:t xml:space="preserve"> </w:t>
            </w:r>
            <w:r w:rsidRPr="00EA3866">
              <w:rPr>
                <w:rFonts w:ascii="Arial" w:hAnsi="Arial"/>
                <w:color w:val="0070C0"/>
                <w:sz w:val="18"/>
              </w:rPr>
              <w:t>Por ejemplo:</w:t>
            </w:r>
            <w:bookmarkStart w:id="0" w:name="_GoBack"/>
            <w:bookmarkEnd w:id="0"/>
          </w:p>
          <w:p w14:paraId="7B3CCF07" w14:textId="77777777" w:rsidR="00544697" w:rsidRPr="00F254FE" w:rsidDel="00685537" w:rsidRDefault="00544697" w:rsidP="00280320">
            <w:pPr>
              <w:pStyle w:val="IPPNormal"/>
              <w:spacing w:before="40" w:after="40"/>
              <w:rPr>
                <w:rFonts w:ascii="Arial" w:hAnsi="Arial"/>
                <w:sz w:val="18"/>
                <w:szCs w:val="18"/>
              </w:rPr>
            </w:pPr>
            <w:r>
              <w:rPr>
                <w:rFonts w:ascii="Arial" w:hAnsi="Arial"/>
                <w:sz w:val="18"/>
              </w:rPr>
              <w:t>2017-03: Corregido.</w:t>
            </w:r>
          </w:p>
        </w:tc>
      </w:tr>
    </w:tbl>
    <w:p w14:paraId="1F71DF21" w14:textId="4B142343" w:rsidR="00544697" w:rsidRDefault="00544697" w:rsidP="00280320">
      <w:pPr>
        <w:pStyle w:val="IPPSubheadSpace"/>
        <w:spacing w:before="0" w:after="0"/>
      </w:pPr>
    </w:p>
    <w:p w14:paraId="6E89C8C1" w14:textId="77777777" w:rsidR="00142E0E" w:rsidRDefault="00142E0E" w:rsidP="00F245FB">
      <w:pPr>
        <w:pStyle w:val="IPPSubheadSpace"/>
      </w:pPr>
      <w:r>
        <w:t>Título</w:t>
      </w:r>
    </w:p>
    <w:p w14:paraId="36E7972A" w14:textId="77777777" w:rsidR="00CA5AD6" w:rsidRPr="0004626B" w:rsidRDefault="00F11888" w:rsidP="00280320">
      <w:pPr>
        <w:pStyle w:val="IPPNormal"/>
        <w:numPr>
          <w:ilvl w:val="0"/>
          <w:numId w:val="15"/>
        </w:numPr>
        <w:spacing w:after="160"/>
        <w:ind w:left="0" w:hanging="567"/>
      </w:pPr>
      <w:r>
        <w:t>[Título completo (n.º de tema)].</w:t>
      </w:r>
    </w:p>
    <w:p w14:paraId="6D9EF441" w14:textId="16140FC0" w:rsidR="00CA5AD6" w:rsidRPr="005125C2" w:rsidRDefault="00142E0E" w:rsidP="008E5CEB">
      <w:pPr>
        <w:pStyle w:val="IPPSubheadSpace"/>
      </w:pPr>
      <w:r>
        <w:t>Justificación de [la revisión de] [la norma] [el suplemento de la norma] [el anexo de la norma] [el apéndice de la norma] [el grupo técnico]</w:t>
      </w:r>
    </w:p>
    <w:p w14:paraId="060D6531" w14:textId="0DE66112" w:rsidR="008E5CEB" w:rsidRPr="005125C2" w:rsidRDefault="00D9185C" w:rsidP="00280320">
      <w:pPr>
        <w:pStyle w:val="IPPNormal"/>
        <w:numPr>
          <w:ilvl w:val="0"/>
          <w:numId w:val="15"/>
        </w:numPr>
        <w:spacing w:after="160"/>
        <w:ind w:left="0" w:hanging="567"/>
        <w:rPr>
          <w:color w:val="0070C0"/>
        </w:rPr>
      </w:pPr>
      <w:r>
        <w:rPr>
          <w:color w:val="0070C0"/>
        </w:rPr>
        <w:t xml:space="preserve">En esta sección se proporciona el motivo por el que se necesita la norma </w:t>
      </w:r>
      <w:r w:rsidR="00E330B3">
        <w:rPr>
          <w:color w:val="0070C0"/>
        </w:rPr>
        <w:t>o</w:t>
      </w:r>
      <w:r>
        <w:rPr>
          <w:color w:val="0070C0"/>
        </w:rPr>
        <w:t xml:space="preserve"> el grupo técnico. En el caso de las normas, se podrá copiar la información contenida en el formulario de presentación del tema.</w:t>
      </w:r>
    </w:p>
    <w:p w14:paraId="4AEFBAC7" w14:textId="676E860F" w:rsidR="00142E0E" w:rsidRDefault="00142E0E" w:rsidP="00D368F3">
      <w:pPr>
        <w:pStyle w:val="IPPSubheadSpace"/>
      </w:pPr>
      <w:r>
        <w:t>Ámbito</w:t>
      </w:r>
    </w:p>
    <w:p w14:paraId="69DD440D" w14:textId="77777777" w:rsidR="00F11888" w:rsidRPr="00F254FE" w:rsidRDefault="00D368F3" w:rsidP="00280320">
      <w:pPr>
        <w:pStyle w:val="IPPNormal"/>
        <w:numPr>
          <w:ilvl w:val="0"/>
          <w:numId w:val="15"/>
        </w:numPr>
        <w:spacing w:after="160"/>
        <w:ind w:left="0" w:hanging="567"/>
        <w:rPr>
          <w:color w:val="0070C0"/>
        </w:rPr>
      </w:pPr>
      <w:r>
        <w:rPr>
          <w:color w:val="0070C0"/>
        </w:rPr>
        <w:t>En esta sección se describen los límites de lo que debería abarcar la norma.</w:t>
      </w:r>
    </w:p>
    <w:p w14:paraId="688885CE" w14:textId="1DF8DDC8" w:rsidR="00180E17" w:rsidRPr="00D368F3" w:rsidRDefault="00180E17" w:rsidP="00280320">
      <w:pPr>
        <w:pStyle w:val="IPPNormal"/>
        <w:numPr>
          <w:ilvl w:val="0"/>
          <w:numId w:val="15"/>
        </w:numPr>
        <w:spacing w:after="160"/>
        <w:ind w:left="0" w:hanging="567"/>
        <w:rPr>
          <w:color w:val="0070C0"/>
        </w:rPr>
      </w:pPr>
      <w:r>
        <w:rPr>
          <w:color w:val="0070C0"/>
        </w:rPr>
        <w:t xml:space="preserve">En el caso de las especificaciones para grupos técnicos, la práctica habitual consiste en combinar las secciones </w:t>
      </w:r>
      <w:r w:rsidR="00E83AAF">
        <w:rPr>
          <w:color w:val="0070C0"/>
        </w:rPr>
        <w:t>relativas al á</w:t>
      </w:r>
      <w:r>
        <w:rPr>
          <w:color w:val="0070C0"/>
        </w:rPr>
        <w:t xml:space="preserve">mbito y </w:t>
      </w:r>
      <w:r w:rsidR="00E83AAF">
        <w:rPr>
          <w:color w:val="0070C0"/>
        </w:rPr>
        <w:t>la f</w:t>
      </w:r>
      <w:r>
        <w:rPr>
          <w:color w:val="0070C0"/>
        </w:rPr>
        <w:t>inalidad en una única sección, en la que se describan el ámbito y la finalidad generales del grupo.</w:t>
      </w:r>
    </w:p>
    <w:p w14:paraId="58821CEE" w14:textId="77777777" w:rsidR="001161D1" w:rsidRDefault="001161D1" w:rsidP="00D368F3">
      <w:pPr>
        <w:pStyle w:val="IPPSubheadSpace"/>
      </w:pPr>
      <w:r>
        <w:t>Finalidad</w:t>
      </w:r>
    </w:p>
    <w:p w14:paraId="129CC249" w14:textId="7881ACA2" w:rsidR="001161D1" w:rsidRPr="00FD1B8D" w:rsidRDefault="00D368F3" w:rsidP="00D368F3">
      <w:pPr>
        <w:pStyle w:val="IPPNormal"/>
        <w:numPr>
          <w:ilvl w:val="0"/>
          <w:numId w:val="15"/>
        </w:numPr>
        <w:ind w:left="0" w:hanging="567"/>
        <w:rPr>
          <w:bCs/>
          <w:color w:val="0070C0"/>
          <w:szCs w:val="22"/>
        </w:rPr>
      </w:pPr>
      <w:r>
        <w:rPr>
          <w:color w:val="0070C0"/>
        </w:rPr>
        <w:t>Se explican las cuestiones que se abordarán o armonizarán una vez haya entrado en vigor la norma.</w:t>
      </w:r>
    </w:p>
    <w:p w14:paraId="22D62C9C" w14:textId="77777777" w:rsidR="00142E0E" w:rsidRDefault="00142E0E" w:rsidP="003D2B6D">
      <w:pPr>
        <w:pStyle w:val="IPPSubheadSpace"/>
        <w:ind w:left="0" w:firstLine="0"/>
      </w:pPr>
      <w:r>
        <w:t>Tareas</w:t>
      </w:r>
    </w:p>
    <w:p w14:paraId="0D7A1818" w14:textId="2DA50532" w:rsidR="0004626B" w:rsidRDefault="0081699F" w:rsidP="00280320">
      <w:pPr>
        <w:pStyle w:val="IPPNormal"/>
        <w:numPr>
          <w:ilvl w:val="0"/>
          <w:numId w:val="15"/>
        </w:numPr>
        <w:spacing w:after="140"/>
        <w:ind w:left="0" w:hanging="567"/>
        <w:rPr>
          <w:color w:val="0070C0"/>
        </w:rPr>
      </w:pPr>
      <w:r>
        <w:rPr>
          <w:color w:val="0070C0"/>
        </w:rPr>
        <w:t>Se trata de una lista de las necesidades, actividades (por ejemplo, el estudio, la determinación, la descripción, el examen y la revisión) y expectativas específicas del grupo de trabajo de expertos.</w:t>
      </w:r>
    </w:p>
    <w:p w14:paraId="1FFB05C5" w14:textId="7D12F69B" w:rsidR="0081699F" w:rsidRDefault="0081699F" w:rsidP="00280320">
      <w:pPr>
        <w:pStyle w:val="IPPNormal"/>
        <w:numPr>
          <w:ilvl w:val="0"/>
          <w:numId w:val="15"/>
        </w:numPr>
        <w:spacing w:after="140"/>
        <w:ind w:left="0" w:hanging="567"/>
        <w:rPr>
          <w:color w:val="0070C0"/>
        </w:rPr>
      </w:pPr>
      <w:r>
        <w:rPr>
          <w:color w:val="0070C0"/>
        </w:rPr>
        <w:t xml:space="preserve">Las tareas penúltima y antepenúltima deben añadirse a todas las especificaciones y la última solo en caso de revisión de una NIMF (pero no de una “revisión </w:t>
      </w:r>
      <w:r w:rsidR="001C1AF8">
        <w:rPr>
          <w:color w:val="0070C0"/>
        </w:rPr>
        <w:t>específica</w:t>
      </w:r>
      <w:r>
        <w:rPr>
          <w:color w:val="0070C0"/>
        </w:rPr>
        <w:t>”).</w:t>
      </w:r>
    </w:p>
    <w:p w14:paraId="7C19211E" w14:textId="1B5491ED" w:rsidR="007E0F05" w:rsidRDefault="007E0F05" w:rsidP="00280320">
      <w:pPr>
        <w:pStyle w:val="IPPNormal"/>
        <w:numPr>
          <w:ilvl w:val="0"/>
          <w:numId w:val="15"/>
        </w:numPr>
        <w:spacing w:after="140"/>
        <w:ind w:left="0" w:hanging="567"/>
        <w:rPr>
          <w:color w:val="0070C0"/>
        </w:rPr>
      </w:pPr>
      <w:r>
        <w:rPr>
          <w:color w:val="0070C0"/>
        </w:rPr>
        <w:t xml:space="preserve">En el caso de los temas que se tengan que asignar a un grupo técnico, se debería sustituir “grupo de </w:t>
      </w:r>
      <w:r w:rsidR="009B123C">
        <w:rPr>
          <w:color w:val="0070C0"/>
        </w:rPr>
        <w:t xml:space="preserve">trabajo </w:t>
      </w:r>
      <w:r>
        <w:rPr>
          <w:color w:val="0070C0"/>
        </w:rPr>
        <w:t xml:space="preserve">de expertos” por “grupo de </w:t>
      </w:r>
      <w:r w:rsidR="009B123C">
        <w:rPr>
          <w:color w:val="0070C0"/>
        </w:rPr>
        <w:t xml:space="preserve">redacción </w:t>
      </w:r>
      <w:r>
        <w:rPr>
          <w:color w:val="0070C0"/>
        </w:rPr>
        <w:t>de expertos”. En el caso de las especificaciones para un grupo técnico, debería sustituir</w:t>
      </w:r>
      <w:r w:rsidR="009B123C">
        <w:rPr>
          <w:color w:val="0070C0"/>
        </w:rPr>
        <w:t>se</w:t>
      </w:r>
      <w:r>
        <w:rPr>
          <w:color w:val="0070C0"/>
        </w:rPr>
        <w:t xml:space="preserve"> “grupo de trabajo de expertos” por “grupo técnico” y ajustar</w:t>
      </w:r>
      <w:r w:rsidR="009B123C">
        <w:rPr>
          <w:color w:val="0070C0"/>
        </w:rPr>
        <w:t>se</w:t>
      </w:r>
      <w:r>
        <w:rPr>
          <w:color w:val="0070C0"/>
        </w:rPr>
        <w:t xml:space="preserve"> las tareas penúltima y antepenúltima según corresponda.</w:t>
      </w:r>
    </w:p>
    <w:p w14:paraId="23D3F4FD" w14:textId="166EE806" w:rsidR="00A6108C" w:rsidRPr="00A6108C" w:rsidRDefault="00A6108C" w:rsidP="00280320">
      <w:pPr>
        <w:pStyle w:val="IPPNormal"/>
        <w:numPr>
          <w:ilvl w:val="0"/>
          <w:numId w:val="15"/>
        </w:numPr>
        <w:spacing w:after="120"/>
        <w:ind w:left="0" w:hanging="567"/>
      </w:pPr>
      <w:r>
        <w:t xml:space="preserve">El </w:t>
      </w:r>
      <w:r w:rsidR="009E5E78">
        <w:t xml:space="preserve">Grupo </w:t>
      </w:r>
      <w:r>
        <w:t>de trabajo de expertos (GTE) debería acometer las siguientes tareas:</w:t>
      </w:r>
    </w:p>
    <w:p w14:paraId="156A4416" w14:textId="77777777" w:rsidR="00A6108C" w:rsidRPr="00A6108C" w:rsidRDefault="00F11888" w:rsidP="001C1AF8">
      <w:pPr>
        <w:pStyle w:val="IPPNumberedList"/>
      </w:pPr>
      <w:r>
        <w:t>[Añadir texto]</w:t>
      </w:r>
    </w:p>
    <w:p w14:paraId="28C2BFFC" w14:textId="77777777" w:rsidR="00F11888" w:rsidRPr="00A6108C" w:rsidRDefault="00F11888" w:rsidP="00F11888">
      <w:pPr>
        <w:pStyle w:val="IPPNumberedList"/>
      </w:pPr>
      <w:r>
        <w:t>[Añadir texto]</w:t>
      </w:r>
    </w:p>
    <w:p w14:paraId="524BDEAB" w14:textId="77777777" w:rsidR="00F11888" w:rsidRPr="00A6108C" w:rsidRDefault="00F11888" w:rsidP="00F11888">
      <w:pPr>
        <w:pStyle w:val="IPPNumberedList"/>
      </w:pPr>
      <w:r>
        <w:t>[Añadir texto]</w:t>
      </w:r>
    </w:p>
    <w:p w14:paraId="43AA21D5" w14:textId="77777777" w:rsidR="00F11888" w:rsidRPr="00A6108C" w:rsidRDefault="00F11888" w:rsidP="00F11888">
      <w:pPr>
        <w:pStyle w:val="IPPNumberedList"/>
      </w:pPr>
      <w:r>
        <w:t>[Añadir texto]</w:t>
      </w:r>
    </w:p>
    <w:p w14:paraId="70E0CECE" w14:textId="77777777" w:rsidR="00F11888" w:rsidRPr="00A6108C" w:rsidRDefault="00F11888" w:rsidP="00F11888">
      <w:pPr>
        <w:pStyle w:val="IPPNumberedList"/>
      </w:pPr>
      <w:r>
        <w:t>[Añadir texto]</w:t>
      </w:r>
    </w:p>
    <w:p w14:paraId="7B6A9A49" w14:textId="77777777" w:rsidR="00F11888" w:rsidRPr="00A6108C" w:rsidRDefault="00F11888" w:rsidP="00F11888">
      <w:pPr>
        <w:pStyle w:val="IPPNumberedList"/>
      </w:pPr>
      <w:r>
        <w:t>[Añadir texto]</w:t>
      </w:r>
    </w:p>
    <w:p w14:paraId="43ADE0A0" w14:textId="6A76E04B" w:rsidR="00AD7C74" w:rsidRDefault="00E72BF0" w:rsidP="000E0C8E">
      <w:pPr>
        <w:pStyle w:val="IPPNumberedList"/>
      </w:pPr>
      <w:r w:rsidRPr="008F5BB1">
        <w:rPr>
          <w:highlight w:val="yellow"/>
        </w:rPr>
        <w:t>[En el caso de las NIMF (aunque es opcional para los suplementos, los anexos y los apéndices)]</w:t>
      </w:r>
      <w:r>
        <w:t xml:space="preserve"> Considerar si la [</w:t>
      </w:r>
      <w:r w:rsidR="008F5BB1">
        <w:t>revisión</w:t>
      </w:r>
      <w:r>
        <w:t>] [NIM</w:t>
      </w:r>
      <w:r w:rsidR="008F5BB1">
        <w:t>F</w:t>
      </w:r>
      <w:r>
        <w:t>] podría afectar específicamente (de forma positiva o negativa) a la protección de la biodiversidad y al medio ambiente. En caso afirmativo, estos efectos deberían determinarse, abordarse y aclararse en el proyecto de NIMF.</w:t>
      </w:r>
    </w:p>
    <w:p w14:paraId="008F2894" w14:textId="655F9668" w:rsidR="00933B2E" w:rsidRPr="00C92A7A" w:rsidRDefault="0081699F" w:rsidP="00280320">
      <w:pPr>
        <w:pStyle w:val="IPPNumberedList"/>
        <w:numPr>
          <w:ilvl w:val="0"/>
          <w:numId w:val="0"/>
        </w:numPr>
        <w:spacing w:after="0"/>
        <w:ind w:left="567"/>
      </w:pPr>
      <w:r>
        <w:rPr>
          <w:color w:val="0070C0"/>
        </w:rPr>
        <w:t xml:space="preserve">Para obtener más información al respecto, sírvase consultar la sección de la </w:t>
      </w:r>
      <w:r>
        <w:rPr>
          <w:i/>
          <w:color w:val="0070C0"/>
        </w:rPr>
        <w:t>Guía de estilo de la CIPF</w:t>
      </w:r>
      <w:r>
        <w:rPr>
          <w:color w:val="0070C0"/>
        </w:rPr>
        <w:t xml:space="preserve"> titulada “</w:t>
      </w:r>
      <w:proofErr w:type="spellStart"/>
      <w:r>
        <w:rPr>
          <w:color w:val="0070C0"/>
        </w:rPr>
        <w:t>Guidance</w:t>
      </w:r>
      <w:proofErr w:type="spellEnd"/>
      <w:r>
        <w:rPr>
          <w:color w:val="0070C0"/>
        </w:rPr>
        <w:t xml:space="preserve"> </w:t>
      </w:r>
      <w:proofErr w:type="spellStart"/>
      <w:r>
        <w:rPr>
          <w:color w:val="0070C0"/>
        </w:rPr>
        <w:t>for</w:t>
      </w:r>
      <w:proofErr w:type="spellEnd"/>
      <w:r>
        <w:rPr>
          <w:color w:val="0070C0"/>
        </w:rPr>
        <w:t xml:space="preserve"> </w:t>
      </w:r>
      <w:proofErr w:type="spellStart"/>
      <w:r>
        <w:rPr>
          <w:color w:val="0070C0"/>
        </w:rPr>
        <w:t>expert</w:t>
      </w:r>
      <w:proofErr w:type="spellEnd"/>
      <w:r>
        <w:rPr>
          <w:color w:val="0070C0"/>
        </w:rPr>
        <w:t xml:space="preserve"> </w:t>
      </w:r>
      <w:proofErr w:type="spellStart"/>
      <w:r>
        <w:rPr>
          <w:color w:val="0070C0"/>
        </w:rPr>
        <w:t>drafting</w:t>
      </w:r>
      <w:proofErr w:type="spellEnd"/>
      <w:r>
        <w:rPr>
          <w:color w:val="0070C0"/>
        </w:rPr>
        <w:t xml:space="preserve"> </w:t>
      </w:r>
      <w:proofErr w:type="spellStart"/>
      <w:r>
        <w:rPr>
          <w:color w:val="0070C0"/>
        </w:rPr>
        <w:t>groups</w:t>
      </w:r>
      <w:proofErr w:type="spellEnd"/>
      <w:r>
        <w:rPr>
          <w:color w:val="0070C0"/>
        </w:rPr>
        <w:t xml:space="preserve"> </w:t>
      </w:r>
      <w:proofErr w:type="spellStart"/>
      <w:r>
        <w:rPr>
          <w:color w:val="0070C0"/>
        </w:rPr>
        <w:t>on</w:t>
      </w:r>
      <w:proofErr w:type="spellEnd"/>
      <w:r>
        <w:rPr>
          <w:color w:val="0070C0"/>
        </w:rPr>
        <w:t xml:space="preserve"> </w:t>
      </w:r>
      <w:proofErr w:type="spellStart"/>
      <w:r>
        <w:rPr>
          <w:color w:val="0070C0"/>
        </w:rPr>
        <w:t>the</w:t>
      </w:r>
      <w:proofErr w:type="spellEnd"/>
      <w:r>
        <w:rPr>
          <w:color w:val="0070C0"/>
        </w:rPr>
        <w:t xml:space="preserve"> </w:t>
      </w:r>
      <w:proofErr w:type="spellStart"/>
      <w:r>
        <w:rPr>
          <w:color w:val="0070C0"/>
        </w:rPr>
        <w:t>task</w:t>
      </w:r>
      <w:proofErr w:type="spellEnd"/>
      <w:r>
        <w:rPr>
          <w:color w:val="0070C0"/>
        </w:rPr>
        <w:t xml:space="preserve"> </w:t>
      </w:r>
      <w:proofErr w:type="spellStart"/>
      <w:r>
        <w:rPr>
          <w:color w:val="0070C0"/>
        </w:rPr>
        <w:t>pertaining</w:t>
      </w:r>
      <w:proofErr w:type="spellEnd"/>
      <w:r>
        <w:rPr>
          <w:color w:val="0070C0"/>
        </w:rPr>
        <w:t xml:space="preserve"> to </w:t>
      </w:r>
      <w:proofErr w:type="spellStart"/>
      <w:r>
        <w:rPr>
          <w:color w:val="0070C0"/>
        </w:rPr>
        <w:t>biodiversity</w:t>
      </w:r>
      <w:proofErr w:type="spellEnd"/>
      <w:r>
        <w:rPr>
          <w:color w:val="0070C0"/>
        </w:rPr>
        <w:t xml:space="preserve"> and </w:t>
      </w:r>
      <w:proofErr w:type="spellStart"/>
      <w:r>
        <w:rPr>
          <w:color w:val="0070C0"/>
        </w:rPr>
        <w:t>the</w:t>
      </w:r>
      <w:proofErr w:type="spellEnd"/>
      <w:r>
        <w:rPr>
          <w:color w:val="0070C0"/>
        </w:rPr>
        <w:t xml:space="preserve"> </w:t>
      </w:r>
      <w:proofErr w:type="spellStart"/>
      <w:r>
        <w:rPr>
          <w:color w:val="0070C0"/>
        </w:rPr>
        <w:t>environment</w:t>
      </w:r>
      <w:proofErr w:type="spellEnd"/>
      <w:r>
        <w:rPr>
          <w:color w:val="0070C0"/>
        </w:rPr>
        <w:t>” (Orientaciones para los grupos de redacción de expertos sobre las tareas relacionadas con la biodiversidad y el medio ambiente).</w:t>
      </w:r>
    </w:p>
    <w:p w14:paraId="0F147010" w14:textId="50ACE76D" w:rsidR="00B60DDB" w:rsidRDefault="00933B2E" w:rsidP="00280320">
      <w:pPr>
        <w:pStyle w:val="IPPNumberedList"/>
        <w:spacing w:before="60"/>
      </w:pPr>
      <w:r>
        <w:lastRenderedPageBreak/>
        <w:t xml:space="preserve">Considerar la aplicación de [la NIMF] [el suplemento] [el anexo] [el apéndice] </w:t>
      </w:r>
      <w:r w:rsidR="00B20A42">
        <w:t xml:space="preserve">[revisados] </w:t>
      </w:r>
      <w:r>
        <w:t xml:space="preserve">por </w:t>
      </w:r>
      <w:r w:rsidRPr="00280320">
        <w:rPr>
          <w:spacing w:val="-2"/>
        </w:rPr>
        <w:t xml:space="preserve">las partes contratantes y determinar los posibles problemas operacionales y técnicos de la aplicación. </w:t>
      </w:r>
      <w:r>
        <w:t>Facilitar información y formular posibles recomendaciones sobre estos problemas al CN.</w:t>
      </w:r>
    </w:p>
    <w:p w14:paraId="1E1BD56E" w14:textId="7A3B94B1" w:rsidR="00B60DDB" w:rsidRDefault="00C71347" w:rsidP="00C71347">
      <w:pPr>
        <w:pStyle w:val="IPPNumberedList"/>
        <w:spacing w:before="60" w:after="180"/>
      </w:pPr>
      <w:r>
        <w:rPr>
          <w:highlight w:val="yellow"/>
        </w:rPr>
        <w:t xml:space="preserve">[Solo en caso de </w:t>
      </w:r>
      <w:r w:rsidRPr="008F5BB1">
        <w:rPr>
          <w:i/>
          <w:iCs/>
          <w:highlight w:val="yellow"/>
        </w:rPr>
        <w:t>revisión</w:t>
      </w:r>
      <w:r>
        <w:rPr>
          <w:highlight w:val="yellow"/>
        </w:rPr>
        <w:t xml:space="preserve"> de NIMF, suplementos, anexos y apéndices]</w:t>
      </w:r>
      <w:r>
        <w:t xml:space="preserve"> Examinar todas las referencias al [número de NIMF, suplemento, anexo o apéndice en revisión] que aparezca en otras NIMF para garantizar que dichas referencias todavía sean pertinentes y proponer, cuando proceda, los consiguientes cambios. Examinar todas las referencias a otras NIMF que aparezcan en [la NIMF] [el suplemento] [el anexo] [el apéndice] revisados y hacer las modificaciones correspondientes.</w:t>
      </w:r>
    </w:p>
    <w:p w14:paraId="2CD7A41B" w14:textId="7BD5F04D" w:rsidR="00142E0E" w:rsidRPr="00502985" w:rsidRDefault="00142E0E" w:rsidP="00C92A7A">
      <w:pPr>
        <w:pStyle w:val="IPPSubheadSpace"/>
      </w:pPr>
      <w:r>
        <w:t>Fuentes de recursos</w:t>
      </w:r>
    </w:p>
    <w:p w14:paraId="67BF7869" w14:textId="0AFA9244" w:rsidR="00A6108C" w:rsidRDefault="00A6108C" w:rsidP="007B2B36">
      <w:pPr>
        <w:pStyle w:val="IPPNormal"/>
        <w:numPr>
          <w:ilvl w:val="0"/>
          <w:numId w:val="15"/>
        </w:numPr>
        <w:ind w:left="0" w:hanging="567"/>
      </w:pPr>
      <w:r>
        <w:t xml:space="preserve">La financiación para la reunión podrá proceder de fuentes distintas del Programa ordinario de la CIPF (FAO). Según se recomendó en la segunda reunión de la Comisión Interina de Medidas Fitosanitarias (1999), siempre que sea posible los participantes en actividades de establecimiento de normas financiarán de forma voluntaria los gastos de desplazamiento y dietas que </w:t>
      </w:r>
      <w:r w:rsidR="009E5E78">
        <w:t xml:space="preserve">acarree </w:t>
      </w:r>
      <w:r>
        <w:t xml:space="preserve">su asistencia a las reuniones. Los participantes podrán solicitar ayuda financiera, en el entendimiento de que los recursos son limitados y de que se otorgará prioridad a los participantes de países en desarrollo. Consúltese el documento </w:t>
      </w:r>
      <w:proofErr w:type="spellStart"/>
      <w:r>
        <w:rPr>
          <w:i/>
          <w:iCs/>
        </w:rPr>
        <w:t>Criteria</w:t>
      </w:r>
      <w:proofErr w:type="spellEnd"/>
      <w:r>
        <w:rPr>
          <w:i/>
          <w:iCs/>
        </w:rPr>
        <w:t xml:space="preserve"> </w:t>
      </w:r>
      <w:proofErr w:type="spellStart"/>
      <w:r>
        <w:rPr>
          <w:i/>
          <w:iCs/>
        </w:rPr>
        <w:t>used</w:t>
      </w:r>
      <w:proofErr w:type="spellEnd"/>
      <w:r>
        <w:rPr>
          <w:i/>
          <w:iCs/>
        </w:rPr>
        <w:t xml:space="preserve"> </w:t>
      </w:r>
      <w:proofErr w:type="spellStart"/>
      <w:r>
        <w:rPr>
          <w:i/>
          <w:iCs/>
        </w:rPr>
        <w:t>for</w:t>
      </w:r>
      <w:proofErr w:type="spellEnd"/>
      <w:r>
        <w:rPr>
          <w:i/>
          <w:iCs/>
        </w:rPr>
        <w:t xml:space="preserve"> </w:t>
      </w:r>
      <w:proofErr w:type="spellStart"/>
      <w:r>
        <w:rPr>
          <w:i/>
          <w:iCs/>
        </w:rPr>
        <w:t>prioritizing</w:t>
      </w:r>
      <w:proofErr w:type="spellEnd"/>
      <w:r>
        <w:rPr>
          <w:i/>
          <w:iCs/>
        </w:rPr>
        <w:t xml:space="preserve"> </w:t>
      </w:r>
      <w:proofErr w:type="spellStart"/>
      <w:r>
        <w:rPr>
          <w:i/>
          <w:iCs/>
        </w:rPr>
        <w:t>participants</w:t>
      </w:r>
      <w:proofErr w:type="spellEnd"/>
      <w:r>
        <w:rPr>
          <w:i/>
          <w:iCs/>
        </w:rPr>
        <w:t xml:space="preserve"> to </w:t>
      </w:r>
      <w:proofErr w:type="spellStart"/>
      <w:r>
        <w:rPr>
          <w:i/>
          <w:iCs/>
        </w:rPr>
        <w:t>receive</w:t>
      </w:r>
      <w:proofErr w:type="spellEnd"/>
      <w:r>
        <w:rPr>
          <w:i/>
          <w:iCs/>
        </w:rPr>
        <w:t xml:space="preserve"> </w:t>
      </w:r>
      <w:proofErr w:type="spellStart"/>
      <w:r>
        <w:rPr>
          <w:i/>
          <w:iCs/>
        </w:rPr>
        <w:t>travel</w:t>
      </w:r>
      <w:proofErr w:type="spellEnd"/>
      <w:r>
        <w:rPr>
          <w:i/>
          <w:iCs/>
        </w:rPr>
        <w:t xml:space="preserve"> </w:t>
      </w:r>
      <w:proofErr w:type="spellStart"/>
      <w:r>
        <w:rPr>
          <w:i/>
          <w:iCs/>
        </w:rPr>
        <w:t>assistance</w:t>
      </w:r>
      <w:proofErr w:type="spellEnd"/>
      <w:r>
        <w:rPr>
          <w:i/>
          <w:iCs/>
        </w:rPr>
        <w:t xml:space="preserve"> to </w:t>
      </w:r>
      <w:proofErr w:type="spellStart"/>
      <w:r>
        <w:rPr>
          <w:i/>
          <w:iCs/>
        </w:rPr>
        <w:t>attend</w:t>
      </w:r>
      <w:proofErr w:type="spellEnd"/>
      <w:r>
        <w:rPr>
          <w:i/>
          <w:iCs/>
        </w:rPr>
        <w:t xml:space="preserve"> meetings </w:t>
      </w:r>
      <w:proofErr w:type="spellStart"/>
      <w:r>
        <w:rPr>
          <w:i/>
          <w:iCs/>
        </w:rPr>
        <w:t>organized</w:t>
      </w:r>
      <w:proofErr w:type="spellEnd"/>
      <w:r>
        <w:rPr>
          <w:i/>
          <w:iCs/>
        </w:rPr>
        <w:t xml:space="preserve"> </w:t>
      </w:r>
      <w:proofErr w:type="spellStart"/>
      <w:r>
        <w:rPr>
          <w:i/>
          <w:iCs/>
        </w:rPr>
        <w:t>by</w:t>
      </w:r>
      <w:proofErr w:type="spellEnd"/>
      <w:r>
        <w:rPr>
          <w:i/>
          <w:iCs/>
        </w:rPr>
        <w:t xml:space="preserve"> </w:t>
      </w:r>
      <w:proofErr w:type="spellStart"/>
      <w:r>
        <w:rPr>
          <w:i/>
          <w:iCs/>
        </w:rPr>
        <w:t>the</w:t>
      </w:r>
      <w:proofErr w:type="spellEnd"/>
      <w:r>
        <w:rPr>
          <w:i/>
          <w:iCs/>
        </w:rPr>
        <w:t xml:space="preserve"> IPPC </w:t>
      </w:r>
      <w:proofErr w:type="spellStart"/>
      <w:r>
        <w:rPr>
          <w:i/>
          <w:iCs/>
        </w:rPr>
        <w:t>Secretariat</w:t>
      </w:r>
      <w:proofErr w:type="spellEnd"/>
      <w:r>
        <w:t xml:space="preserve"> (Criterios de prioridad aplicados en la concesión de ayudas de viaje para financiar la asistencia a las reuniones organizadas por la Secretaría de la CIPF) publicado en el Portal fitosanitario internacional (PFI) (véase </w:t>
      </w:r>
      <w:hyperlink r:id="rId11" w:history="1">
        <w:r>
          <w:rPr>
            <w:rStyle w:val="Hyperlink"/>
          </w:rPr>
          <w:t>www.ippc.int/es/core-activities</w:t>
        </w:r>
      </w:hyperlink>
      <w:r>
        <w:t>).</w:t>
      </w:r>
    </w:p>
    <w:p w14:paraId="377B391C" w14:textId="77777777" w:rsidR="00A6108C" w:rsidRDefault="00A6108C" w:rsidP="00F245FB">
      <w:pPr>
        <w:pStyle w:val="IPPSubheadSpace"/>
      </w:pPr>
      <w:r>
        <w:t>Colaborador</w:t>
      </w:r>
    </w:p>
    <w:p w14:paraId="0D4ACAFB" w14:textId="77777777" w:rsidR="00A6108C" w:rsidRDefault="00A6108C" w:rsidP="00A6108C">
      <w:pPr>
        <w:pStyle w:val="IPPNormal"/>
        <w:numPr>
          <w:ilvl w:val="0"/>
          <w:numId w:val="15"/>
        </w:numPr>
        <w:ind w:left="0" w:hanging="567"/>
      </w:pPr>
      <w:r>
        <w:t>Por determinar.</w:t>
      </w:r>
    </w:p>
    <w:p w14:paraId="0959B091" w14:textId="77777777" w:rsidR="00A6108C" w:rsidRDefault="00A6108C" w:rsidP="00F245FB">
      <w:pPr>
        <w:pStyle w:val="IPPSubheadSpace"/>
      </w:pPr>
      <w:r>
        <w:t>Administrador</w:t>
      </w:r>
    </w:p>
    <w:p w14:paraId="50D752B0" w14:textId="214F5087" w:rsidR="00F74F8B" w:rsidRPr="0029569B" w:rsidRDefault="00A6108C" w:rsidP="00B60DDB">
      <w:pPr>
        <w:pStyle w:val="IPPNormal"/>
        <w:numPr>
          <w:ilvl w:val="0"/>
          <w:numId w:val="15"/>
        </w:numPr>
        <w:ind w:left="0" w:hanging="567"/>
      </w:pPr>
      <w:r>
        <w:t xml:space="preserve">Consúltese la lista de temas de las normas de la CIPF publicada en el PFI (véase </w:t>
      </w:r>
      <w:hyperlink r:id="rId12" w:history="1">
        <w:r>
          <w:rPr>
            <w:rStyle w:val="Hyperlink"/>
          </w:rPr>
          <w:t>www.ippc.int/es/core-activities/standards-setting/list-topics-ippc-standards</w:t>
        </w:r>
      </w:hyperlink>
      <w:r>
        <w:t>).</w:t>
      </w:r>
    </w:p>
    <w:p w14:paraId="6F8C03A0" w14:textId="7A935C66" w:rsidR="00142E0E" w:rsidRDefault="00142E0E" w:rsidP="00142E0E">
      <w:pPr>
        <w:pStyle w:val="IPPSubheadSpace"/>
      </w:pPr>
      <w:r>
        <w:t>Expertos</w:t>
      </w:r>
    </w:p>
    <w:p w14:paraId="6973FB39" w14:textId="11A9E89D" w:rsidR="0081699F" w:rsidRPr="00C92A7A" w:rsidRDefault="0081699F" w:rsidP="005C3E81">
      <w:pPr>
        <w:pStyle w:val="IPPNormal"/>
        <w:numPr>
          <w:ilvl w:val="0"/>
          <w:numId w:val="15"/>
        </w:numPr>
        <w:ind w:left="0" w:hanging="567"/>
        <w:rPr>
          <w:color w:val="0070C0"/>
        </w:rPr>
      </w:pPr>
      <w:r>
        <w:rPr>
          <w:color w:val="0070C0"/>
        </w:rPr>
        <w:t>En esta sección se determinará la naturaleza de los conocimientos necesarios para elaborar la NIMF (en el caso de una especificación para una norma) o para los miembros del grupo (en el caso de una especificación para un grupo técnico).</w:t>
      </w:r>
    </w:p>
    <w:p w14:paraId="21799B57" w14:textId="77777777" w:rsidR="005C3E81" w:rsidRDefault="005C3E81" w:rsidP="005C3E81">
      <w:pPr>
        <w:pStyle w:val="IPPNormal"/>
        <w:numPr>
          <w:ilvl w:val="0"/>
          <w:numId w:val="15"/>
        </w:numPr>
        <w:ind w:left="0" w:hanging="567"/>
      </w:pPr>
      <w:r>
        <w:rPr>
          <w:highlight w:val="yellow"/>
        </w:rPr>
        <w:t>[A, B o C]</w:t>
      </w:r>
    </w:p>
    <w:p w14:paraId="51492615" w14:textId="3E4D788C" w:rsidR="005C3E81" w:rsidRDefault="005C3E81" w:rsidP="005C3E81">
      <w:pPr>
        <w:pStyle w:val="IPPNormal"/>
        <w:numPr>
          <w:ilvl w:val="0"/>
          <w:numId w:val="15"/>
        </w:numPr>
        <w:ind w:left="0" w:hanging="567"/>
      </w:pPr>
      <w:r>
        <w:rPr>
          <w:highlight w:val="yellow"/>
        </w:rPr>
        <w:t>[A]</w:t>
      </w:r>
      <w:r>
        <w:t xml:space="preserve"> Por ejemplo, expertos con amplios conocimientos y experiencia en [acciones fitosanitarias]; entre ellos, al menos una persona especializada en [programas de autorización y sus elementos] y una persona especializada en [auditoría del cumplimiento de los programas de autorización].</w:t>
      </w:r>
    </w:p>
    <w:p w14:paraId="7E46C66C" w14:textId="35537F70" w:rsidR="005C3E81" w:rsidRDefault="005C3E81" w:rsidP="00C92A7A">
      <w:pPr>
        <w:pStyle w:val="IPPNormal"/>
        <w:numPr>
          <w:ilvl w:val="0"/>
          <w:numId w:val="15"/>
        </w:numPr>
        <w:ind w:left="0" w:hanging="567"/>
      </w:pPr>
      <w:r>
        <w:rPr>
          <w:highlight w:val="yellow"/>
        </w:rPr>
        <w:t>[B]</w:t>
      </w:r>
      <w:r>
        <w:t xml:space="preserve"> </w:t>
      </w:r>
      <w:r>
        <w:rPr>
          <w:highlight w:val="yellow"/>
        </w:rPr>
        <w:t xml:space="preserve">[En relación con las normas que </w:t>
      </w:r>
      <w:r w:rsidR="000B7F28">
        <w:rPr>
          <w:highlight w:val="yellow"/>
        </w:rPr>
        <w:t xml:space="preserve">han de ser </w:t>
      </w:r>
      <w:r>
        <w:rPr>
          <w:highlight w:val="yellow"/>
        </w:rPr>
        <w:t>elabora</w:t>
      </w:r>
      <w:r w:rsidR="000B7F28">
        <w:rPr>
          <w:highlight w:val="yellow"/>
        </w:rPr>
        <w:t>das por</w:t>
      </w:r>
      <w:r>
        <w:rPr>
          <w:highlight w:val="yellow"/>
        </w:rPr>
        <w:t xml:space="preserve"> un grupo técnico]</w:t>
      </w:r>
      <w:r w:rsidR="000B7F28">
        <w:t>, e</w:t>
      </w:r>
      <w:r>
        <w:t>l Grupo técnico [sobre protocolos de diagnóstico, sobre el glosario, etc.] y otros expertos si se considera necesario.</w:t>
      </w:r>
    </w:p>
    <w:p w14:paraId="7C37126B" w14:textId="49C9F3CC" w:rsidR="005C3E81" w:rsidRPr="00B60DDB" w:rsidRDefault="005C3E81" w:rsidP="000E0C8E">
      <w:pPr>
        <w:pStyle w:val="IPPNormal"/>
        <w:numPr>
          <w:ilvl w:val="0"/>
          <w:numId w:val="15"/>
        </w:numPr>
        <w:ind w:left="0" w:hanging="567"/>
      </w:pPr>
      <w:r>
        <w:rPr>
          <w:highlight w:val="yellow"/>
        </w:rPr>
        <w:t>[C] [En relación con las especificaciones para un grupo técnico]</w:t>
      </w:r>
      <w:r w:rsidR="000B7F28">
        <w:t>, p</w:t>
      </w:r>
      <w:r>
        <w:t xml:space="preserve">or ejemplo, los miembros de este </w:t>
      </w:r>
      <w:r w:rsidR="009B123C">
        <w:t xml:space="preserve">Grupo </w:t>
      </w:r>
      <w:r>
        <w:t>deberían tener conocimientos especializados primordialmente en materia de [enumerar las esferas de conocimientos].</w:t>
      </w:r>
    </w:p>
    <w:p w14:paraId="67CA965E" w14:textId="77777777" w:rsidR="00A6108C" w:rsidRDefault="00A6108C" w:rsidP="00F245FB">
      <w:pPr>
        <w:pStyle w:val="IPPSubheadSpace"/>
      </w:pPr>
      <w:r>
        <w:t>Participantes</w:t>
      </w:r>
    </w:p>
    <w:p w14:paraId="61F78BF5" w14:textId="77777777" w:rsidR="00387466" w:rsidRPr="00C92A7A" w:rsidRDefault="00387466" w:rsidP="00387466">
      <w:pPr>
        <w:pStyle w:val="IPPNormal"/>
        <w:numPr>
          <w:ilvl w:val="0"/>
          <w:numId w:val="15"/>
        </w:numPr>
        <w:ind w:left="0" w:hanging="567"/>
        <w:rPr>
          <w:color w:val="0070C0"/>
        </w:rPr>
      </w:pPr>
      <w:r>
        <w:rPr>
          <w:color w:val="0070C0"/>
        </w:rPr>
        <w:t>Determinar el número de expertos necesarios.</w:t>
      </w:r>
    </w:p>
    <w:p w14:paraId="70C120D9" w14:textId="77777777" w:rsidR="00387466" w:rsidRDefault="00387466" w:rsidP="00387466">
      <w:pPr>
        <w:pStyle w:val="IPPNormal"/>
        <w:numPr>
          <w:ilvl w:val="0"/>
          <w:numId w:val="15"/>
        </w:numPr>
        <w:ind w:left="0" w:hanging="567"/>
      </w:pPr>
      <w:r>
        <w:rPr>
          <w:highlight w:val="yellow"/>
        </w:rPr>
        <w:t>[A, B o C, como antes]</w:t>
      </w:r>
    </w:p>
    <w:p w14:paraId="3C1625C9" w14:textId="61561CB5" w:rsidR="005C3E81" w:rsidRDefault="005E2DEE" w:rsidP="005C3E81">
      <w:pPr>
        <w:pStyle w:val="IPPNormal"/>
        <w:numPr>
          <w:ilvl w:val="0"/>
          <w:numId w:val="15"/>
        </w:numPr>
        <w:ind w:left="0" w:hanging="567"/>
      </w:pPr>
      <w:r>
        <w:rPr>
          <w:highlight w:val="yellow"/>
        </w:rPr>
        <w:t>[A]</w:t>
      </w:r>
      <w:r>
        <w:t xml:space="preserve"> [Entre cinco y siete expertos.]</w:t>
      </w:r>
    </w:p>
    <w:p w14:paraId="3F98473C" w14:textId="1C496C6B" w:rsidR="00432418" w:rsidRDefault="00432418" w:rsidP="005C3E81">
      <w:pPr>
        <w:pStyle w:val="IPPNormal"/>
        <w:numPr>
          <w:ilvl w:val="0"/>
          <w:numId w:val="15"/>
        </w:numPr>
        <w:ind w:left="0" w:hanging="567"/>
      </w:pPr>
      <w:r>
        <w:lastRenderedPageBreak/>
        <w:t>[Además, se deberá invitar a un miembro del Comité de Aplicación y Desarrollo de la Capacidad (CADC). Podrá tratarse de un experto invitado o un representante del CADC.]</w:t>
      </w:r>
    </w:p>
    <w:p w14:paraId="38B45AB9" w14:textId="77777777" w:rsidR="005E2DEE" w:rsidRDefault="005E2DEE" w:rsidP="005C3E81">
      <w:pPr>
        <w:pStyle w:val="IPPNormal"/>
        <w:numPr>
          <w:ilvl w:val="0"/>
          <w:numId w:val="15"/>
        </w:numPr>
        <w:ind w:left="0" w:hanging="567"/>
      </w:pPr>
      <w:r>
        <w:rPr>
          <w:highlight w:val="yellow"/>
        </w:rPr>
        <w:t>[B]</w:t>
      </w:r>
      <w:r>
        <w:t xml:space="preserve"> Como se ha descrito anteriormente.</w:t>
      </w:r>
    </w:p>
    <w:p w14:paraId="7A0948B7" w14:textId="787851B4" w:rsidR="005E2DEE" w:rsidRPr="00B60DDB" w:rsidRDefault="005E2DEE" w:rsidP="005C3E81">
      <w:pPr>
        <w:pStyle w:val="IPPNormal"/>
        <w:numPr>
          <w:ilvl w:val="0"/>
          <w:numId w:val="15"/>
        </w:numPr>
        <w:ind w:left="0" w:hanging="567"/>
      </w:pPr>
      <w:r>
        <w:rPr>
          <w:highlight w:val="yellow"/>
        </w:rPr>
        <w:t>[C]</w:t>
      </w:r>
      <w:r>
        <w:t xml:space="preserve"> [Entre cinco y 10 miembros.] Los datos de los miembros del </w:t>
      </w:r>
      <w:r w:rsidR="009E5E78">
        <w:t xml:space="preserve">Grupo </w:t>
      </w:r>
      <w:r>
        <w:t xml:space="preserve">técnico pueden consultarse en el PFI: </w:t>
      </w:r>
      <w:r>
        <w:rPr>
          <w:highlight w:val="yellow"/>
        </w:rPr>
        <w:t>[Hipervínculo a la página principal del grupo técnico pertinente]</w:t>
      </w:r>
      <w:r>
        <w:t xml:space="preserve">. El CN selecciona a los miembros del </w:t>
      </w:r>
      <w:r w:rsidR="009B123C">
        <w:t xml:space="preserve">Grupo </w:t>
      </w:r>
      <w:r>
        <w:t xml:space="preserve">para un mandato quinquenal. Asimismo, revisará la composición del </w:t>
      </w:r>
      <w:r w:rsidR="009B123C">
        <w:t xml:space="preserve">Grupo </w:t>
      </w:r>
      <w:r>
        <w:t>de forma periódica y podrá renovar el mandato de los miembros.</w:t>
      </w:r>
    </w:p>
    <w:p w14:paraId="513788B2" w14:textId="77777777" w:rsidR="00142E0E" w:rsidRPr="00C92A7A" w:rsidRDefault="00142E0E" w:rsidP="00142E0E">
      <w:pPr>
        <w:pStyle w:val="IPPSubheadSpace"/>
        <w:rPr>
          <w:color w:val="0070C0"/>
        </w:rPr>
      </w:pPr>
      <w:r>
        <w:t>Referencias</w:t>
      </w:r>
    </w:p>
    <w:p w14:paraId="5A83E403" w14:textId="77777777" w:rsidR="00F74F8B" w:rsidRDefault="00A6108C" w:rsidP="005C3E81">
      <w:pPr>
        <w:pStyle w:val="IPPNormal"/>
        <w:numPr>
          <w:ilvl w:val="0"/>
          <w:numId w:val="15"/>
        </w:numPr>
        <w:ind w:left="0" w:hanging="567"/>
      </w:pPr>
      <w:r>
        <w:t>La CIPF, las NIMF pertinentes y otras normas y acuerdos de alcance nacional, regional e internacional que puedan aplicarse a las tareas y los documentos de debate presentados en relación con este trabajo.</w:t>
      </w:r>
    </w:p>
    <w:p w14:paraId="10CF2EA5" w14:textId="7A8B6858" w:rsidR="00BA081F" w:rsidRPr="00AD7C74" w:rsidRDefault="00BA081F" w:rsidP="005C3E81">
      <w:pPr>
        <w:pStyle w:val="IPPNormal"/>
        <w:numPr>
          <w:ilvl w:val="0"/>
          <w:numId w:val="15"/>
        </w:numPr>
        <w:ind w:left="0" w:hanging="567"/>
        <w:rPr>
          <w:color w:val="0070C0"/>
        </w:rPr>
      </w:pPr>
      <w:r>
        <w:rPr>
          <w:color w:val="0070C0"/>
        </w:rPr>
        <w:t xml:space="preserve">Se puede añadir más información o referencias específicas cuando proceda. Todas las NIMF mencionadas en la especificación (salvo en el caso de la NIMF en proceso de revisión, en el caso de una revisión) se deberían incluir en la sección </w:t>
      </w:r>
      <w:r w:rsidR="00E83AAF">
        <w:rPr>
          <w:color w:val="0070C0"/>
        </w:rPr>
        <w:t>relativa a las r</w:t>
      </w:r>
      <w:r>
        <w:rPr>
          <w:color w:val="0070C0"/>
        </w:rPr>
        <w:t>eferencias.</w:t>
      </w:r>
    </w:p>
    <w:p w14:paraId="773D2477" w14:textId="77777777" w:rsidR="00142E0E" w:rsidRPr="00EE4B6B" w:rsidRDefault="00142E0E" w:rsidP="00142E0E">
      <w:pPr>
        <w:pStyle w:val="IPPSubheadSpace"/>
      </w:pPr>
      <w:r>
        <w:t>Documentos de debate</w:t>
      </w:r>
    </w:p>
    <w:p w14:paraId="23AA255B" w14:textId="3AE35CEE" w:rsidR="00F74F8B" w:rsidRPr="00854C47" w:rsidRDefault="00A6108C" w:rsidP="000B38CE">
      <w:pPr>
        <w:pStyle w:val="IPPNormal"/>
        <w:numPr>
          <w:ilvl w:val="0"/>
          <w:numId w:val="15"/>
        </w:numPr>
        <w:ind w:left="0" w:hanging="567"/>
      </w:pPr>
      <w:r>
        <w:t>Se alienta a los participantes y las partes interesadas a remitir documentos de debate a la Secretaría de la CIPF (</w:t>
      </w:r>
      <w:hyperlink r:id="rId13" w:history="1">
        <w:r>
          <w:rPr>
            <w:rStyle w:val="Hyperlink"/>
          </w:rPr>
          <w:t>ippc@fao.org</w:t>
        </w:r>
      </w:hyperlink>
      <w:r>
        <w:t xml:space="preserve">) para </w:t>
      </w:r>
      <w:r w:rsidR="009B123C">
        <w:t xml:space="preserve">su </w:t>
      </w:r>
      <w:r>
        <w:t xml:space="preserve">examen </w:t>
      </w:r>
      <w:r w:rsidR="009B123C">
        <w:t xml:space="preserve">por el </w:t>
      </w:r>
      <w:r>
        <w:t>GTE.</w:t>
      </w:r>
    </w:p>
    <w:sectPr w:rsidR="00F74F8B" w:rsidRPr="00854C47" w:rsidSect="00280320">
      <w:headerReference w:type="even" r:id="rId14"/>
      <w:headerReference w:type="default" r:id="rId15"/>
      <w:footerReference w:type="even" r:id="rId16"/>
      <w:footerReference w:type="default" r:id="rId17"/>
      <w:footerReference w:type="first" r:id="rId18"/>
      <w:pgSz w:w="11906" w:h="16838" w:code="9"/>
      <w:pgMar w:top="1440"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205D" w14:textId="77777777" w:rsidR="008A0AC9" w:rsidRDefault="008A0AC9">
      <w:r>
        <w:separator/>
      </w:r>
    </w:p>
  </w:endnote>
  <w:endnote w:type="continuationSeparator" w:id="0">
    <w:p w14:paraId="797D0CE6" w14:textId="77777777" w:rsidR="008A0AC9" w:rsidRDefault="008A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DDB5" w14:textId="6738B8C9" w:rsidR="00A8699A" w:rsidRPr="000A3E02" w:rsidRDefault="00A8699A" w:rsidP="00C92A7A">
    <w:pPr>
      <w:pStyle w:val="IPPFooter"/>
    </w:pPr>
    <w:r>
      <w:rPr>
        <w:rStyle w:val="PageNumber"/>
        <w:b/>
      </w:rPr>
      <w:t xml:space="preserve">Página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EA3866">
      <w:rPr>
        <w:rStyle w:val="PageNumber"/>
        <w:b/>
        <w:noProof/>
      </w:rPr>
      <w:t>2</w:t>
    </w:r>
    <w:r w:rsidRPr="005B440E">
      <w:rPr>
        <w:rStyle w:val="PageNumber"/>
        <w:b/>
      </w:rPr>
      <w:fldChar w:fldCharType="end"/>
    </w:r>
    <w:r>
      <w:rPr>
        <w:rStyle w:val="PageNumber"/>
        <w:b/>
      </w:rPr>
      <w:t xml:space="preserve"> 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EA3866">
      <w:rPr>
        <w:rStyle w:val="PageNumber"/>
        <w:b/>
        <w:noProof/>
      </w:rPr>
      <w:t>4</w:t>
    </w:r>
    <w:r w:rsidRPr="005B440E">
      <w:rPr>
        <w:rStyle w:val="PageNumber"/>
        <w:b/>
      </w:rPr>
      <w:fldChar w:fldCharType="end"/>
    </w:r>
    <w:r>
      <w:rPr>
        <w:rStyle w:val="PageNumber"/>
        <w:b/>
      </w:rPr>
      <w:tab/>
    </w:r>
    <w:r>
      <w:t>Convención Internacional de Protección Fitosanitaria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9C64" w14:textId="640D3DA4" w:rsidR="00A8699A" w:rsidRPr="00526ED7" w:rsidRDefault="00A8699A" w:rsidP="00C92A7A">
    <w:pPr>
      <w:pStyle w:val="IPPFooter"/>
    </w:pPr>
    <w:r>
      <w:t>Convención Internacional de Protección Fitosanitaria</w:t>
    </w:r>
    <w:r>
      <w:tab/>
      <w:t xml:space="preserve"> </w:t>
    </w:r>
    <w:r>
      <w:rPr>
        <w:rStyle w:val="PageNumber"/>
        <w:b/>
      </w:rPr>
      <w:t xml:space="preserve">Página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EA3866">
      <w:rPr>
        <w:rStyle w:val="PageNumber"/>
        <w:b/>
        <w:noProof/>
      </w:rPr>
      <w:t>3</w:t>
    </w:r>
    <w:r w:rsidRPr="005B440E">
      <w:rPr>
        <w:rStyle w:val="PageNumber"/>
        <w:b/>
      </w:rPr>
      <w:fldChar w:fldCharType="end"/>
    </w:r>
    <w:r>
      <w:rPr>
        <w:rStyle w:val="PageNumber"/>
        <w:b/>
      </w:rPr>
      <w:t xml:space="preserve">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EA3866">
      <w:rPr>
        <w:rStyle w:val="PageNumber"/>
        <w:b/>
        <w:noProof/>
      </w:rPr>
      <w:t>4</w:t>
    </w:r>
    <w:r w:rsidRPr="005B440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C7E5" w14:textId="1754CA2D" w:rsidR="00A8699A" w:rsidRPr="005B440E" w:rsidRDefault="00A8699A" w:rsidP="00C92A7A">
    <w:pPr>
      <w:pStyle w:val="IPPFooter"/>
    </w:pPr>
    <w:r>
      <w:t>Convención Internacional de Protección Fitosanitaria</w:t>
    </w:r>
    <w:r>
      <w:tab/>
    </w:r>
    <w:r>
      <w:rPr>
        <w:rStyle w:val="PageNumber"/>
        <w:b/>
      </w:rPr>
      <w:t xml:space="preserve">Página </w:t>
    </w:r>
    <w:r w:rsidRPr="005B440E">
      <w:rPr>
        <w:rStyle w:val="PageNumber"/>
        <w:b/>
      </w:rPr>
      <w:fldChar w:fldCharType="begin"/>
    </w:r>
    <w:r w:rsidRPr="005B440E">
      <w:rPr>
        <w:rStyle w:val="PageNumber"/>
        <w:b/>
      </w:rPr>
      <w:instrText xml:space="preserve"> PAGE </w:instrText>
    </w:r>
    <w:r w:rsidRPr="005B440E">
      <w:rPr>
        <w:rStyle w:val="PageNumber"/>
        <w:b/>
      </w:rPr>
      <w:fldChar w:fldCharType="separate"/>
    </w:r>
    <w:r w:rsidR="00EA3866">
      <w:rPr>
        <w:rStyle w:val="PageNumber"/>
        <w:b/>
        <w:noProof/>
      </w:rPr>
      <w:t>1</w:t>
    </w:r>
    <w:r w:rsidRPr="005B440E">
      <w:rPr>
        <w:rStyle w:val="PageNumber"/>
        <w:b/>
      </w:rPr>
      <w:fldChar w:fldCharType="end"/>
    </w:r>
    <w:r>
      <w:rPr>
        <w:rStyle w:val="PageNumber"/>
        <w:b/>
      </w:rPr>
      <w:t xml:space="preserve">de </w:t>
    </w:r>
    <w:r w:rsidRPr="005B440E">
      <w:rPr>
        <w:rStyle w:val="PageNumber"/>
        <w:b/>
      </w:rPr>
      <w:fldChar w:fldCharType="begin"/>
    </w:r>
    <w:r w:rsidRPr="005B440E">
      <w:rPr>
        <w:rStyle w:val="PageNumber"/>
        <w:b/>
      </w:rPr>
      <w:instrText xml:space="preserve"> NUMPAGES </w:instrText>
    </w:r>
    <w:r w:rsidRPr="005B440E">
      <w:rPr>
        <w:rStyle w:val="PageNumber"/>
        <w:b/>
      </w:rPr>
      <w:fldChar w:fldCharType="separate"/>
    </w:r>
    <w:r w:rsidR="00EA3866">
      <w:rPr>
        <w:rStyle w:val="PageNumber"/>
        <w:b/>
        <w:noProof/>
      </w:rPr>
      <w:t>4</w:t>
    </w:r>
    <w:r w:rsidRPr="005B440E">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8520" w14:textId="77777777" w:rsidR="008A0AC9" w:rsidRDefault="008A0AC9">
      <w:r>
        <w:separator/>
      </w:r>
    </w:p>
  </w:footnote>
  <w:footnote w:type="continuationSeparator" w:id="0">
    <w:p w14:paraId="378AB426" w14:textId="77777777" w:rsidR="008A0AC9" w:rsidRDefault="008A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E2AC" w14:textId="0053918F" w:rsidR="0057013D" w:rsidRPr="00C92A7A" w:rsidRDefault="0057013D" w:rsidP="00C92A7A">
    <w:pPr>
      <w:pStyle w:val="IPPHeader"/>
    </w:pPr>
    <w:r>
      <w:t>[Número de tema]</w:t>
    </w:r>
    <w:r>
      <w:tab/>
      <w:t xml:space="preserve">Proyecto de especificación sobre </w:t>
    </w:r>
    <w:r>
      <w:rPr>
        <w:i/>
      </w:rPr>
      <w:t>[Título]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682B" w14:textId="2103DACA" w:rsidR="00A8699A" w:rsidRPr="00C92A7A" w:rsidRDefault="0057013D" w:rsidP="00C92A7A">
    <w:pPr>
      <w:pStyle w:val="IPPHeader"/>
    </w:pPr>
    <w:r>
      <w:t xml:space="preserve">Proyecto de especificación sobre </w:t>
    </w:r>
    <w:r>
      <w:rPr>
        <w:i/>
      </w:rPr>
      <w:t>[Título]</w:t>
    </w:r>
    <w:r>
      <w:tab/>
      <w:t>[Número de tema]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A6A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AA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8A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C0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861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66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26D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67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E28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34C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7658AFF2"/>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0">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31"/>
  </w:num>
  <w:num w:numId="4">
    <w:abstractNumId w:val="26"/>
  </w:num>
  <w:num w:numId="5">
    <w:abstractNumId w:val="30"/>
  </w:num>
  <w:num w:numId="6">
    <w:abstractNumId w:val="12"/>
  </w:num>
  <w:num w:numId="7">
    <w:abstractNumId w:val="18"/>
  </w:num>
  <w:num w:numId="8">
    <w:abstractNumId w:val="10"/>
  </w:num>
  <w:num w:numId="9">
    <w:abstractNumId w:val="28"/>
  </w:num>
  <w:num w:numId="10">
    <w:abstractNumId w:val="13"/>
  </w:num>
  <w:num w:numId="11">
    <w:abstractNumId w:val="15"/>
  </w:num>
  <w:num w:numId="12">
    <w:abstractNumId w:val="32"/>
  </w:num>
  <w:num w:numId="13">
    <w:abstractNumId w:val="25"/>
  </w:num>
  <w:num w:numId="14">
    <w:abstractNumId w:val="20"/>
  </w:num>
  <w:num w:numId="15">
    <w:abstractNumId w:val="19"/>
  </w:num>
  <w:num w:numId="16">
    <w:abstractNumId w:val="10"/>
  </w:num>
  <w:num w:numId="17">
    <w:abstractNumId w:val="21"/>
  </w:num>
  <w:num w:numId="18">
    <w:abstractNumId w:val="27"/>
  </w:num>
  <w:num w:numId="19">
    <w:abstractNumId w:val="10"/>
  </w:num>
  <w:num w:numId="20">
    <w:abstractNumId w:val="11"/>
  </w:num>
  <w:num w:numId="21">
    <w:abstractNumId w:val="22"/>
  </w:num>
  <w:num w:numId="22">
    <w:abstractNumId w:val="33"/>
  </w:num>
  <w:num w:numId="23">
    <w:abstractNumId w:val="14"/>
  </w:num>
  <w:num w:numId="2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23"/>
  </w:num>
  <w:num w:numId="31">
    <w:abstractNumId w:val="29"/>
  </w:num>
  <w:num w:numId="32">
    <w:abstractNumId w:val="2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0"/>
    <w:rsid w:val="00011FFC"/>
    <w:rsid w:val="00012842"/>
    <w:rsid w:val="00013203"/>
    <w:rsid w:val="00020A00"/>
    <w:rsid w:val="000250E5"/>
    <w:rsid w:val="00041CEC"/>
    <w:rsid w:val="00042041"/>
    <w:rsid w:val="0004626B"/>
    <w:rsid w:val="00050561"/>
    <w:rsid w:val="00065CE8"/>
    <w:rsid w:val="00070909"/>
    <w:rsid w:val="00087C0D"/>
    <w:rsid w:val="0009282B"/>
    <w:rsid w:val="000A3E02"/>
    <w:rsid w:val="000B38CE"/>
    <w:rsid w:val="000B7F28"/>
    <w:rsid w:val="000E0C8E"/>
    <w:rsid w:val="000F58FA"/>
    <w:rsid w:val="00112E1D"/>
    <w:rsid w:val="001161D1"/>
    <w:rsid w:val="00116207"/>
    <w:rsid w:val="0014296A"/>
    <w:rsid w:val="00142E0E"/>
    <w:rsid w:val="00180E17"/>
    <w:rsid w:val="00185B66"/>
    <w:rsid w:val="00186DFB"/>
    <w:rsid w:val="00190582"/>
    <w:rsid w:val="001B5171"/>
    <w:rsid w:val="001C1AF8"/>
    <w:rsid w:val="001C7A33"/>
    <w:rsid w:val="001E6985"/>
    <w:rsid w:val="001F6E51"/>
    <w:rsid w:val="001F7454"/>
    <w:rsid w:val="0021718B"/>
    <w:rsid w:val="002226CF"/>
    <w:rsid w:val="00225BBB"/>
    <w:rsid w:val="00233CC8"/>
    <w:rsid w:val="0026405D"/>
    <w:rsid w:val="0026435B"/>
    <w:rsid w:val="00280320"/>
    <w:rsid w:val="002815AC"/>
    <w:rsid w:val="00283A0A"/>
    <w:rsid w:val="0029569B"/>
    <w:rsid w:val="00295E73"/>
    <w:rsid w:val="002A42C9"/>
    <w:rsid w:val="002B777A"/>
    <w:rsid w:val="002D61BB"/>
    <w:rsid w:val="0030399B"/>
    <w:rsid w:val="00314DE2"/>
    <w:rsid w:val="00323B7E"/>
    <w:rsid w:val="00330E59"/>
    <w:rsid w:val="003478FB"/>
    <w:rsid w:val="00387466"/>
    <w:rsid w:val="003C1891"/>
    <w:rsid w:val="003D2B6D"/>
    <w:rsid w:val="003D52A0"/>
    <w:rsid w:val="003D6602"/>
    <w:rsid w:val="003E3010"/>
    <w:rsid w:val="003F1199"/>
    <w:rsid w:val="0040281E"/>
    <w:rsid w:val="00406EA7"/>
    <w:rsid w:val="004200E4"/>
    <w:rsid w:val="00424AE6"/>
    <w:rsid w:val="00432418"/>
    <w:rsid w:val="004337CD"/>
    <w:rsid w:val="004627E0"/>
    <w:rsid w:val="004822F5"/>
    <w:rsid w:val="00495BBC"/>
    <w:rsid w:val="004D7E1C"/>
    <w:rsid w:val="004E363E"/>
    <w:rsid w:val="004F496A"/>
    <w:rsid w:val="00502985"/>
    <w:rsid w:val="005125C2"/>
    <w:rsid w:val="00514B91"/>
    <w:rsid w:val="00517C5F"/>
    <w:rsid w:val="0053224B"/>
    <w:rsid w:val="00544697"/>
    <w:rsid w:val="0055542C"/>
    <w:rsid w:val="005679A6"/>
    <w:rsid w:val="0057013D"/>
    <w:rsid w:val="005B1471"/>
    <w:rsid w:val="005C3E81"/>
    <w:rsid w:val="005D07DC"/>
    <w:rsid w:val="005E2DEE"/>
    <w:rsid w:val="005E4A3F"/>
    <w:rsid w:val="005E4E14"/>
    <w:rsid w:val="005F14D6"/>
    <w:rsid w:val="00607FB9"/>
    <w:rsid w:val="00624C74"/>
    <w:rsid w:val="00625F7C"/>
    <w:rsid w:val="00633952"/>
    <w:rsid w:val="00634396"/>
    <w:rsid w:val="00660AA6"/>
    <w:rsid w:val="0066567F"/>
    <w:rsid w:val="00667614"/>
    <w:rsid w:val="0068334A"/>
    <w:rsid w:val="00686D7F"/>
    <w:rsid w:val="006B764F"/>
    <w:rsid w:val="006B7CAD"/>
    <w:rsid w:val="006C1DD9"/>
    <w:rsid w:val="006E01A1"/>
    <w:rsid w:val="006E3FF1"/>
    <w:rsid w:val="006E5259"/>
    <w:rsid w:val="006F4341"/>
    <w:rsid w:val="006F7DCB"/>
    <w:rsid w:val="0070455B"/>
    <w:rsid w:val="00763F7F"/>
    <w:rsid w:val="007777F4"/>
    <w:rsid w:val="00782DF2"/>
    <w:rsid w:val="00791A19"/>
    <w:rsid w:val="007B2B36"/>
    <w:rsid w:val="007C2BA5"/>
    <w:rsid w:val="007C7606"/>
    <w:rsid w:val="007C7BFA"/>
    <w:rsid w:val="007E0F05"/>
    <w:rsid w:val="007E18DC"/>
    <w:rsid w:val="007E6904"/>
    <w:rsid w:val="007E7872"/>
    <w:rsid w:val="00801165"/>
    <w:rsid w:val="00802481"/>
    <w:rsid w:val="00806C0B"/>
    <w:rsid w:val="0081699F"/>
    <w:rsid w:val="00821035"/>
    <w:rsid w:val="008340EA"/>
    <w:rsid w:val="00847848"/>
    <w:rsid w:val="00851D2D"/>
    <w:rsid w:val="00852CCB"/>
    <w:rsid w:val="00856F05"/>
    <w:rsid w:val="0087329D"/>
    <w:rsid w:val="0087427C"/>
    <w:rsid w:val="00876210"/>
    <w:rsid w:val="008814FC"/>
    <w:rsid w:val="008A0AC9"/>
    <w:rsid w:val="008B04D8"/>
    <w:rsid w:val="008B2DEA"/>
    <w:rsid w:val="008B4E42"/>
    <w:rsid w:val="008C0091"/>
    <w:rsid w:val="008C2797"/>
    <w:rsid w:val="008E5CEB"/>
    <w:rsid w:val="008F5BB1"/>
    <w:rsid w:val="00903AC4"/>
    <w:rsid w:val="00912C12"/>
    <w:rsid w:val="00914CEE"/>
    <w:rsid w:val="00933B2E"/>
    <w:rsid w:val="00943DD6"/>
    <w:rsid w:val="009563FA"/>
    <w:rsid w:val="00962F08"/>
    <w:rsid w:val="009647D0"/>
    <w:rsid w:val="00966A09"/>
    <w:rsid w:val="009844BE"/>
    <w:rsid w:val="009968F2"/>
    <w:rsid w:val="00997689"/>
    <w:rsid w:val="009B123C"/>
    <w:rsid w:val="009B4CBC"/>
    <w:rsid w:val="009D12F7"/>
    <w:rsid w:val="009E5E78"/>
    <w:rsid w:val="009F5BB6"/>
    <w:rsid w:val="00A102AE"/>
    <w:rsid w:val="00A24065"/>
    <w:rsid w:val="00A6108C"/>
    <w:rsid w:val="00A702DB"/>
    <w:rsid w:val="00A72791"/>
    <w:rsid w:val="00A849D1"/>
    <w:rsid w:val="00A8699A"/>
    <w:rsid w:val="00A94B98"/>
    <w:rsid w:val="00AB21CA"/>
    <w:rsid w:val="00AD62F0"/>
    <w:rsid w:val="00AD7C74"/>
    <w:rsid w:val="00AE19B1"/>
    <w:rsid w:val="00B037A2"/>
    <w:rsid w:val="00B20A42"/>
    <w:rsid w:val="00B230EF"/>
    <w:rsid w:val="00B60DDB"/>
    <w:rsid w:val="00B71768"/>
    <w:rsid w:val="00B7644A"/>
    <w:rsid w:val="00B9232A"/>
    <w:rsid w:val="00BA081F"/>
    <w:rsid w:val="00BA328A"/>
    <w:rsid w:val="00BA56F6"/>
    <w:rsid w:val="00BC6796"/>
    <w:rsid w:val="00BD260F"/>
    <w:rsid w:val="00BF04BD"/>
    <w:rsid w:val="00BF792D"/>
    <w:rsid w:val="00C23150"/>
    <w:rsid w:val="00C332F9"/>
    <w:rsid w:val="00C3604C"/>
    <w:rsid w:val="00C53B12"/>
    <w:rsid w:val="00C57567"/>
    <w:rsid w:val="00C57A32"/>
    <w:rsid w:val="00C6377D"/>
    <w:rsid w:val="00C71347"/>
    <w:rsid w:val="00C74B6B"/>
    <w:rsid w:val="00C77439"/>
    <w:rsid w:val="00C92A7A"/>
    <w:rsid w:val="00CA5AD6"/>
    <w:rsid w:val="00CA730C"/>
    <w:rsid w:val="00CD6E70"/>
    <w:rsid w:val="00CF47FE"/>
    <w:rsid w:val="00D23974"/>
    <w:rsid w:val="00D275BD"/>
    <w:rsid w:val="00D368F3"/>
    <w:rsid w:val="00D442FA"/>
    <w:rsid w:val="00D574CC"/>
    <w:rsid w:val="00D83BBE"/>
    <w:rsid w:val="00D85DC2"/>
    <w:rsid w:val="00D9185C"/>
    <w:rsid w:val="00DA0F57"/>
    <w:rsid w:val="00DE4B4D"/>
    <w:rsid w:val="00DF4459"/>
    <w:rsid w:val="00E02206"/>
    <w:rsid w:val="00E13AE1"/>
    <w:rsid w:val="00E330B3"/>
    <w:rsid w:val="00E41E5D"/>
    <w:rsid w:val="00E5262D"/>
    <w:rsid w:val="00E54297"/>
    <w:rsid w:val="00E64FF8"/>
    <w:rsid w:val="00E6789B"/>
    <w:rsid w:val="00E70A0B"/>
    <w:rsid w:val="00E72BF0"/>
    <w:rsid w:val="00E83AAF"/>
    <w:rsid w:val="00EA307B"/>
    <w:rsid w:val="00EA3866"/>
    <w:rsid w:val="00EB2717"/>
    <w:rsid w:val="00EB55B7"/>
    <w:rsid w:val="00EB6DE4"/>
    <w:rsid w:val="00EC5FC3"/>
    <w:rsid w:val="00EC618F"/>
    <w:rsid w:val="00ED292E"/>
    <w:rsid w:val="00ED7B57"/>
    <w:rsid w:val="00EE7FE6"/>
    <w:rsid w:val="00F0232E"/>
    <w:rsid w:val="00F031E3"/>
    <w:rsid w:val="00F05223"/>
    <w:rsid w:val="00F06191"/>
    <w:rsid w:val="00F11888"/>
    <w:rsid w:val="00F245FB"/>
    <w:rsid w:val="00F254FE"/>
    <w:rsid w:val="00F455BF"/>
    <w:rsid w:val="00F471A2"/>
    <w:rsid w:val="00F73AA2"/>
    <w:rsid w:val="00F74F8B"/>
    <w:rsid w:val="00FA589A"/>
    <w:rsid w:val="00FD1B8D"/>
    <w:rsid w:val="00FE0B9C"/>
    <w:rsid w:val="00FE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49C7B"/>
  <w15:chartTrackingRefBased/>
  <w15:docId w15:val="{8E7E8246-748C-4EAB-9F10-C117A150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66"/>
    <w:pPr>
      <w:jc w:val="both"/>
    </w:pPr>
    <w:rPr>
      <w:rFonts w:eastAsia="MS Mincho"/>
      <w:sz w:val="22"/>
      <w:szCs w:val="24"/>
    </w:rPr>
  </w:style>
  <w:style w:type="paragraph" w:styleId="Heading1">
    <w:name w:val="heading 1"/>
    <w:basedOn w:val="Normal"/>
    <w:next w:val="Normal"/>
    <w:link w:val="Heading1Char"/>
    <w:qFormat/>
    <w:rsid w:val="00D9185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9185C"/>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9185C"/>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9185C"/>
    <w:pPr>
      <w:spacing w:before="60"/>
    </w:pPr>
    <w:rPr>
      <w:sz w:val="20"/>
    </w:rPr>
  </w:style>
  <w:style w:type="character" w:styleId="FootnoteReference">
    <w:name w:val="footnote reference"/>
    <w:semiHidden/>
    <w:rsid w:val="00D9185C"/>
    <w:rPr>
      <w:vertAlign w:val="superscript"/>
    </w:rPr>
  </w:style>
  <w:style w:type="paragraph" w:styleId="Header">
    <w:name w:val="header"/>
    <w:basedOn w:val="Normal"/>
    <w:link w:val="HeaderChar"/>
    <w:rsid w:val="00D9185C"/>
    <w:pPr>
      <w:tabs>
        <w:tab w:val="center" w:pos="4680"/>
        <w:tab w:val="right" w:pos="9360"/>
      </w:tabs>
    </w:pPr>
  </w:style>
  <w:style w:type="paragraph" w:styleId="Footer">
    <w:name w:val="footer"/>
    <w:basedOn w:val="Normal"/>
    <w:link w:val="FooterChar"/>
    <w:rsid w:val="00D9185C"/>
    <w:pPr>
      <w:tabs>
        <w:tab w:val="center" w:pos="4680"/>
        <w:tab w:val="right" w:pos="9360"/>
      </w:tabs>
    </w:pPr>
  </w:style>
  <w:style w:type="character" w:styleId="PageNumber">
    <w:name w:val="page number"/>
    <w:rsid w:val="00D9185C"/>
    <w:rPr>
      <w:rFonts w:ascii="Arial" w:hAnsi="Arial"/>
      <w:b/>
      <w:sz w:val="18"/>
    </w:rPr>
  </w:style>
  <w:style w:type="character" w:customStyle="1" w:styleId="Underline">
    <w:name w:val="Underline"/>
    <w:rsid w:val="006C0BCA"/>
    <w:rPr>
      <w:u w:val="single"/>
    </w:rPr>
  </w:style>
  <w:style w:type="character" w:styleId="Hyperlink">
    <w:name w:val="Hyperlink"/>
    <w:rsid w:val="00185B66"/>
    <w:rPr>
      <w:color w:val="0000FF"/>
      <w:u w:val="none"/>
    </w:rPr>
  </w:style>
  <w:style w:type="character" w:styleId="FollowedHyperlink">
    <w:name w:val="FollowedHyperlink"/>
    <w:rsid w:val="00185B66"/>
    <w:rPr>
      <w:color w:val="800080"/>
      <w:u w:val="none"/>
    </w:rPr>
  </w:style>
  <w:style w:type="table" w:styleId="TableGrid">
    <w:name w:val="Table Grid"/>
    <w:basedOn w:val="TableNormal"/>
    <w:rsid w:val="00D9185C"/>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185C"/>
    <w:rPr>
      <w:rFonts w:ascii="Tahoma" w:hAnsi="Tahoma" w:cs="Tahoma"/>
      <w:sz w:val="16"/>
      <w:szCs w:val="16"/>
    </w:rPr>
  </w:style>
  <w:style w:type="paragraph" w:customStyle="1" w:styleId="IPPBullet2">
    <w:name w:val="IPP Bullet2"/>
    <w:basedOn w:val="IPPNormal"/>
    <w:next w:val="IPPBullet1"/>
    <w:qFormat/>
    <w:rsid w:val="00D9185C"/>
    <w:pPr>
      <w:numPr>
        <w:numId w:val="5"/>
      </w:numPr>
      <w:tabs>
        <w:tab w:val="left" w:pos="1134"/>
      </w:tabs>
      <w:spacing w:after="60"/>
      <w:ind w:left="1134" w:hanging="567"/>
    </w:pPr>
  </w:style>
  <w:style w:type="paragraph" w:customStyle="1" w:styleId="IPPTitle16ptIndent">
    <w:name w:val="IPP Title16pt Indent"/>
    <w:basedOn w:val="Normal"/>
    <w:qFormat/>
    <w:rsid w:val="00A83EFD"/>
    <w:pPr>
      <w:spacing w:after="720"/>
      <w:ind w:left="1701" w:right="1701"/>
      <w:jc w:val="center"/>
    </w:pPr>
    <w:rPr>
      <w:rFonts w:ascii="Arial" w:hAnsi="Arial" w:cs="Arial"/>
      <w:b/>
      <w:bCs/>
      <w:sz w:val="32"/>
      <w:szCs w:val="32"/>
    </w:rPr>
  </w:style>
  <w:style w:type="paragraph" w:customStyle="1" w:styleId="IPPQuote">
    <w:name w:val="IPP Quote"/>
    <w:basedOn w:val="IPPNormal"/>
    <w:qFormat/>
    <w:rsid w:val="00D9185C"/>
    <w:pPr>
      <w:ind w:left="851" w:right="851"/>
    </w:pPr>
    <w:rPr>
      <w:sz w:val="18"/>
    </w:rPr>
  </w:style>
  <w:style w:type="paragraph" w:customStyle="1" w:styleId="IPPNormal">
    <w:name w:val="IPP Normal"/>
    <w:basedOn w:val="Normal"/>
    <w:link w:val="IPPNormalChar"/>
    <w:qFormat/>
    <w:rsid w:val="00D9185C"/>
    <w:pPr>
      <w:spacing w:after="180"/>
    </w:pPr>
    <w:rPr>
      <w:rFonts w:eastAsia="Times"/>
    </w:rPr>
  </w:style>
  <w:style w:type="character" w:customStyle="1" w:styleId="Heading1Char">
    <w:name w:val="Heading 1 Char"/>
    <w:link w:val="Heading1"/>
    <w:rsid w:val="00D9185C"/>
    <w:rPr>
      <w:rFonts w:eastAsia="MS Mincho"/>
      <w:b/>
      <w:bCs/>
      <w:sz w:val="22"/>
      <w:szCs w:val="24"/>
      <w:lang w:val="es-ES"/>
    </w:rPr>
  </w:style>
  <w:style w:type="character" w:styleId="CommentReference">
    <w:name w:val="annotation reference"/>
    <w:rsid w:val="006C0BCA"/>
    <w:rPr>
      <w:sz w:val="16"/>
      <w:szCs w:val="16"/>
    </w:rPr>
  </w:style>
  <w:style w:type="paragraph" w:styleId="CommentText">
    <w:name w:val="annotation text"/>
    <w:basedOn w:val="Normal"/>
    <w:link w:val="CommentTextChar"/>
    <w:rsid w:val="006C0BCA"/>
    <w:rPr>
      <w:rFonts w:eastAsia="Times New Roman"/>
      <w:sz w:val="20"/>
      <w:szCs w:val="20"/>
      <w:lang w:eastAsia="x-none"/>
    </w:rPr>
  </w:style>
  <w:style w:type="character" w:customStyle="1" w:styleId="CommentTextChar">
    <w:name w:val="Comment Text Char"/>
    <w:link w:val="CommentText"/>
    <w:rsid w:val="006C0BCA"/>
    <w:rPr>
      <w:lang w:val="es-ES"/>
    </w:rPr>
  </w:style>
  <w:style w:type="paragraph" w:styleId="CommentSubject">
    <w:name w:val="annotation subject"/>
    <w:basedOn w:val="CommentText"/>
    <w:next w:val="CommentText"/>
    <w:link w:val="CommentSubjectChar"/>
    <w:semiHidden/>
    <w:rsid w:val="006C0BCA"/>
    <w:rPr>
      <w:b/>
      <w:bCs/>
    </w:rPr>
  </w:style>
  <w:style w:type="character" w:customStyle="1" w:styleId="CommentSubjectChar">
    <w:name w:val="Comment Subject Char"/>
    <w:link w:val="CommentSubject"/>
    <w:semiHidden/>
    <w:rsid w:val="006C0BCA"/>
    <w:rPr>
      <w:b/>
      <w:bCs/>
      <w:lang w:val="es-ES"/>
    </w:rPr>
  </w:style>
  <w:style w:type="paragraph" w:customStyle="1" w:styleId="Comments">
    <w:name w:val="Comments"/>
    <w:basedOn w:val="Normal"/>
    <w:rsid w:val="006C0BCA"/>
    <w:pPr>
      <w:ind w:left="284" w:hanging="284"/>
    </w:pPr>
  </w:style>
  <w:style w:type="paragraph" w:customStyle="1" w:styleId="IPPHeadSection">
    <w:name w:val="IPP HeadSection"/>
    <w:basedOn w:val="Normal"/>
    <w:next w:val="Normal"/>
    <w:qFormat/>
    <w:rsid w:val="00D9185C"/>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9185C"/>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9185C"/>
    <w:pPr>
      <w:keepNext/>
      <w:ind w:left="567" w:hanging="567"/>
      <w:jc w:val="left"/>
    </w:pPr>
    <w:rPr>
      <w:b/>
      <w:bCs/>
      <w:iCs/>
      <w:szCs w:val="22"/>
    </w:rPr>
  </w:style>
  <w:style w:type="paragraph" w:customStyle="1" w:styleId="IPPNumberedList">
    <w:name w:val="IPP NumberedList"/>
    <w:basedOn w:val="IPPBullet1"/>
    <w:qFormat/>
    <w:rsid w:val="00D9185C"/>
    <w:pPr>
      <w:numPr>
        <w:numId w:val="8"/>
      </w:numPr>
    </w:pPr>
  </w:style>
  <w:style w:type="paragraph" w:customStyle="1" w:styleId="IPPBullet1">
    <w:name w:val="IPP Bullet1"/>
    <w:basedOn w:val="IPPBullet1Last"/>
    <w:qFormat/>
    <w:rsid w:val="00D9185C"/>
    <w:pPr>
      <w:numPr>
        <w:numId w:val="31"/>
      </w:numPr>
      <w:spacing w:after="60"/>
      <w:ind w:left="567" w:hanging="567"/>
    </w:pPr>
  </w:style>
  <w:style w:type="paragraph" w:customStyle="1" w:styleId="IPPBullet1Last">
    <w:name w:val="IPP Bullet1Last"/>
    <w:basedOn w:val="IPPNormal"/>
    <w:next w:val="IPPNormal"/>
    <w:autoRedefine/>
    <w:qFormat/>
    <w:rsid w:val="00D9185C"/>
    <w:pPr>
      <w:numPr>
        <w:numId w:val="4"/>
      </w:numPr>
    </w:pPr>
  </w:style>
  <w:style w:type="paragraph" w:customStyle="1" w:styleId="IPPNumberClose">
    <w:name w:val="IPP NumberClose"/>
    <w:basedOn w:val="IPPNumber"/>
    <w:qFormat/>
    <w:rsid w:val="006C0BCA"/>
    <w:pPr>
      <w:keepNext/>
      <w:spacing w:after="60"/>
    </w:pPr>
  </w:style>
  <w:style w:type="paragraph" w:customStyle="1" w:styleId="IPPTitle16pt">
    <w:name w:val="IPP Title16pt"/>
    <w:basedOn w:val="Normal"/>
    <w:qFormat/>
    <w:rsid w:val="00D9185C"/>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D9185C"/>
    <w:pPr>
      <w:spacing w:after="360"/>
      <w:jc w:val="center"/>
    </w:pPr>
    <w:rPr>
      <w:rFonts w:ascii="Arial" w:hAnsi="Arial" w:cs="Arial"/>
      <w:b/>
      <w:bCs/>
      <w:sz w:val="36"/>
      <w:szCs w:val="36"/>
    </w:rPr>
  </w:style>
  <w:style w:type="paragraph" w:customStyle="1" w:styleId="IPPNumber">
    <w:name w:val="IPP Number"/>
    <w:basedOn w:val="IPPNormal"/>
    <w:qFormat/>
    <w:rsid w:val="006C0BCA"/>
    <w:pPr>
      <w:numPr>
        <w:numId w:val="1"/>
      </w:numPr>
    </w:pPr>
  </w:style>
  <w:style w:type="paragraph" w:customStyle="1" w:styleId="IPPAnnexHead">
    <w:name w:val="IPP AnnexHead"/>
    <w:basedOn w:val="IPPNormal"/>
    <w:next w:val="IPPNormal"/>
    <w:qFormat/>
    <w:rsid w:val="00D9185C"/>
    <w:pPr>
      <w:keepNext/>
      <w:tabs>
        <w:tab w:val="left" w:pos="567"/>
      </w:tabs>
      <w:spacing w:before="120"/>
      <w:jc w:val="left"/>
      <w:outlineLvl w:val="1"/>
    </w:pPr>
    <w:rPr>
      <w:b/>
      <w:sz w:val="24"/>
    </w:rPr>
  </w:style>
  <w:style w:type="numbering" w:customStyle="1" w:styleId="IPPList">
    <w:name w:val="IPP List"/>
    <w:rsid w:val="00A83EFD"/>
  </w:style>
  <w:style w:type="paragraph" w:customStyle="1" w:styleId="IPPNormalCloseSpace">
    <w:name w:val="IPP NormalCloseSpace"/>
    <w:basedOn w:val="Normal"/>
    <w:qFormat/>
    <w:rsid w:val="00D9185C"/>
    <w:pPr>
      <w:keepNext/>
      <w:spacing w:after="60"/>
    </w:pPr>
  </w:style>
  <w:style w:type="paragraph" w:customStyle="1" w:styleId="IPPHeading2">
    <w:name w:val="IPP Heading2"/>
    <w:basedOn w:val="IPPNormal"/>
    <w:next w:val="IPPNormal"/>
    <w:qFormat/>
    <w:rsid w:val="00D9185C"/>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rsid w:val="00D9185C"/>
    <w:pPr>
      <w:numPr>
        <w:numId w:val="0"/>
      </w:numPr>
      <w:spacing w:after="180"/>
    </w:pPr>
  </w:style>
  <w:style w:type="paragraph" w:styleId="TOC1">
    <w:name w:val="toc 1"/>
    <w:basedOn w:val="IPPNormalCloseSpace"/>
    <w:next w:val="Normal"/>
    <w:autoRedefine/>
    <w:uiPriority w:val="39"/>
    <w:rsid w:val="00D9185C"/>
    <w:pPr>
      <w:tabs>
        <w:tab w:val="right" w:leader="dot" w:pos="9072"/>
      </w:tabs>
      <w:spacing w:before="240"/>
      <w:ind w:left="567" w:hanging="567"/>
    </w:pPr>
  </w:style>
  <w:style w:type="paragraph" w:styleId="TOC2">
    <w:name w:val="toc 2"/>
    <w:basedOn w:val="TOC1"/>
    <w:next w:val="Normal"/>
    <w:autoRedefine/>
    <w:uiPriority w:val="39"/>
    <w:rsid w:val="00D9185C"/>
    <w:pPr>
      <w:keepNext w:val="0"/>
      <w:tabs>
        <w:tab w:val="left" w:pos="425"/>
      </w:tabs>
      <w:spacing w:before="120" w:after="0"/>
      <w:ind w:left="425" w:right="284" w:hanging="425"/>
    </w:pPr>
  </w:style>
  <w:style w:type="paragraph" w:styleId="TOC3">
    <w:name w:val="toc 3"/>
    <w:basedOn w:val="TOC2"/>
    <w:next w:val="Normal"/>
    <w:autoRedefine/>
    <w:uiPriority w:val="39"/>
    <w:rsid w:val="00D9185C"/>
    <w:pPr>
      <w:tabs>
        <w:tab w:val="left" w:pos="1276"/>
      </w:tabs>
      <w:spacing w:before="60"/>
      <w:ind w:left="1276" w:hanging="851"/>
    </w:pPr>
    <w:rPr>
      <w:rFonts w:eastAsia="Times"/>
    </w:rPr>
  </w:style>
  <w:style w:type="paragraph" w:styleId="TOC4">
    <w:name w:val="toc 4"/>
    <w:basedOn w:val="Normal"/>
    <w:next w:val="Normal"/>
    <w:autoRedefine/>
    <w:uiPriority w:val="39"/>
    <w:rsid w:val="00D9185C"/>
    <w:pPr>
      <w:spacing w:after="120"/>
      <w:ind w:left="660"/>
    </w:pPr>
    <w:rPr>
      <w:rFonts w:eastAsia="Times"/>
    </w:rPr>
  </w:style>
  <w:style w:type="paragraph" w:styleId="TOC5">
    <w:name w:val="toc 5"/>
    <w:basedOn w:val="Normal"/>
    <w:next w:val="Normal"/>
    <w:autoRedefine/>
    <w:uiPriority w:val="39"/>
    <w:rsid w:val="00D9185C"/>
    <w:pPr>
      <w:spacing w:after="120"/>
      <w:ind w:left="880"/>
    </w:pPr>
    <w:rPr>
      <w:rFonts w:eastAsia="Times"/>
    </w:rPr>
  </w:style>
  <w:style w:type="paragraph" w:styleId="TOC6">
    <w:name w:val="toc 6"/>
    <w:basedOn w:val="Normal"/>
    <w:next w:val="Normal"/>
    <w:autoRedefine/>
    <w:uiPriority w:val="39"/>
    <w:rsid w:val="00D9185C"/>
    <w:pPr>
      <w:spacing w:after="120"/>
      <w:ind w:left="1100"/>
    </w:pPr>
    <w:rPr>
      <w:rFonts w:eastAsia="Times"/>
    </w:rPr>
  </w:style>
  <w:style w:type="paragraph" w:styleId="TOC7">
    <w:name w:val="toc 7"/>
    <w:basedOn w:val="Normal"/>
    <w:next w:val="Normal"/>
    <w:autoRedefine/>
    <w:uiPriority w:val="39"/>
    <w:rsid w:val="00D9185C"/>
    <w:pPr>
      <w:spacing w:after="120"/>
      <w:ind w:left="1320"/>
    </w:pPr>
    <w:rPr>
      <w:rFonts w:eastAsia="Times"/>
    </w:rPr>
  </w:style>
  <w:style w:type="paragraph" w:styleId="TOC8">
    <w:name w:val="toc 8"/>
    <w:basedOn w:val="Normal"/>
    <w:next w:val="Normal"/>
    <w:autoRedefine/>
    <w:uiPriority w:val="39"/>
    <w:rsid w:val="00D9185C"/>
    <w:pPr>
      <w:spacing w:after="120"/>
      <w:ind w:left="1540"/>
    </w:pPr>
    <w:rPr>
      <w:rFonts w:eastAsia="Times"/>
    </w:rPr>
  </w:style>
  <w:style w:type="paragraph" w:styleId="TOC9">
    <w:name w:val="toc 9"/>
    <w:basedOn w:val="Normal"/>
    <w:next w:val="Normal"/>
    <w:autoRedefine/>
    <w:uiPriority w:val="39"/>
    <w:rsid w:val="00D9185C"/>
    <w:pPr>
      <w:spacing w:after="120"/>
      <w:ind w:left="1760"/>
    </w:pPr>
    <w:rPr>
      <w:rFonts w:eastAsia="Times"/>
    </w:rPr>
  </w:style>
  <w:style w:type="paragraph" w:customStyle="1" w:styleId="IPPReferences">
    <w:name w:val="IPP References"/>
    <w:basedOn w:val="IPPNormal"/>
    <w:qFormat/>
    <w:rsid w:val="00D9185C"/>
    <w:pPr>
      <w:spacing w:after="60"/>
      <w:ind w:left="567" w:hanging="567"/>
    </w:pPr>
  </w:style>
  <w:style w:type="character" w:customStyle="1" w:styleId="Heading2Char">
    <w:name w:val="Heading 2 Char"/>
    <w:link w:val="Heading2"/>
    <w:rsid w:val="00D9185C"/>
    <w:rPr>
      <w:rFonts w:ascii="Calibri" w:eastAsia="MS Mincho" w:hAnsi="Calibri"/>
      <w:b/>
      <w:bCs/>
      <w:i/>
      <w:iCs/>
      <w:sz w:val="28"/>
      <w:szCs w:val="28"/>
      <w:lang w:val="es-ES"/>
    </w:rPr>
  </w:style>
  <w:style w:type="character" w:customStyle="1" w:styleId="Heading3Char">
    <w:name w:val="Heading 3 Char"/>
    <w:link w:val="Heading3"/>
    <w:rsid w:val="00D9185C"/>
    <w:rPr>
      <w:rFonts w:ascii="Calibri" w:eastAsia="MS Mincho" w:hAnsi="Calibri"/>
      <w:b/>
      <w:bCs/>
      <w:sz w:val="26"/>
      <w:szCs w:val="26"/>
      <w:lang w:val="es-ES"/>
    </w:rPr>
  </w:style>
  <w:style w:type="paragraph" w:customStyle="1" w:styleId="IPPArial">
    <w:name w:val="IPP Arial"/>
    <w:basedOn w:val="IPPNormal"/>
    <w:qFormat/>
    <w:rsid w:val="00D9185C"/>
    <w:pPr>
      <w:spacing w:after="0"/>
    </w:pPr>
    <w:rPr>
      <w:rFonts w:ascii="Arial" w:hAnsi="Arial"/>
      <w:sz w:val="18"/>
    </w:rPr>
  </w:style>
  <w:style w:type="paragraph" w:customStyle="1" w:styleId="IPPArialTable">
    <w:name w:val="IPP Arial Table"/>
    <w:basedOn w:val="IPPArial"/>
    <w:qFormat/>
    <w:rsid w:val="00D9185C"/>
    <w:pPr>
      <w:spacing w:before="60" w:after="60"/>
      <w:jc w:val="left"/>
    </w:pPr>
  </w:style>
  <w:style w:type="character" w:customStyle="1" w:styleId="FootnoteTextChar">
    <w:name w:val="Footnote Text Char"/>
    <w:link w:val="FootnoteText"/>
    <w:semiHidden/>
    <w:rsid w:val="00D9185C"/>
    <w:rPr>
      <w:rFonts w:eastAsia="MS Mincho"/>
      <w:szCs w:val="24"/>
      <w:lang w:val="es-ES"/>
    </w:rPr>
  </w:style>
  <w:style w:type="paragraph" w:customStyle="1" w:styleId="Indent1">
    <w:name w:val="Indent 1"/>
    <w:basedOn w:val="Normal"/>
    <w:qFormat/>
    <w:rsid w:val="006C0BCA"/>
    <w:pPr>
      <w:spacing w:after="60"/>
      <w:ind w:left="567"/>
      <w:jc w:val="left"/>
    </w:pPr>
    <w:rPr>
      <w:rFonts w:ascii="Georgia" w:eastAsia="Times" w:hAnsi="Georgia"/>
      <w:sz w:val="18"/>
    </w:rPr>
  </w:style>
  <w:style w:type="paragraph" w:customStyle="1" w:styleId="Subhead">
    <w:name w:val="Subhead"/>
    <w:basedOn w:val="Normal"/>
    <w:qFormat/>
    <w:rsid w:val="006C0BCA"/>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rsid w:val="00D9185C"/>
    <w:pPr>
      <w:jc w:val="left"/>
    </w:pPr>
    <w:rPr>
      <w:rFonts w:ascii="Courier" w:eastAsia="Times" w:hAnsi="Courier"/>
      <w:sz w:val="21"/>
      <w:szCs w:val="21"/>
    </w:rPr>
  </w:style>
  <w:style w:type="character" w:customStyle="1" w:styleId="PlainTextChar">
    <w:name w:val="Plain Text Char"/>
    <w:link w:val="PlainText"/>
    <w:uiPriority w:val="99"/>
    <w:rsid w:val="00D9185C"/>
    <w:rPr>
      <w:rFonts w:ascii="Courier" w:eastAsia="Times" w:hAnsi="Courier"/>
      <w:sz w:val="21"/>
      <w:szCs w:val="21"/>
      <w:lang w:val="es-ES"/>
    </w:rPr>
  </w:style>
  <w:style w:type="paragraph" w:customStyle="1" w:styleId="IPPNumberSubhead">
    <w:name w:val="IPP NumberSubhead"/>
    <w:basedOn w:val="IPPNumber"/>
    <w:qFormat/>
    <w:rsid w:val="006C0BCA"/>
    <w:pPr>
      <w:keepNext/>
      <w:spacing w:after="60"/>
    </w:pPr>
    <w:rPr>
      <w:b/>
    </w:rPr>
  </w:style>
  <w:style w:type="paragraph" w:customStyle="1" w:styleId="IPPSubheadNumber">
    <w:name w:val="IPP SubheadNumber"/>
    <w:basedOn w:val="IPPSubhead"/>
    <w:qFormat/>
    <w:rsid w:val="006C0BCA"/>
    <w:pPr>
      <w:numPr>
        <w:numId w:val="2"/>
      </w:numPr>
    </w:pPr>
  </w:style>
  <w:style w:type="paragraph" w:customStyle="1" w:styleId="IPPLetterList">
    <w:name w:val="IPP LetterList"/>
    <w:basedOn w:val="IPPBullet2"/>
    <w:qFormat/>
    <w:rsid w:val="00D9185C"/>
    <w:pPr>
      <w:numPr>
        <w:numId w:val="9"/>
      </w:numPr>
      <w:jc w:val="left"/>
    </w:pPr>
  </w:style>
  <w:style w:type="paragraph" w:customStyle="1" w:styleId="IPPLetterListIndent">
    <w:name w:val="IPP LetterList Indent"/>
    <w:basedOn w:val="IPPLetterList"/>
    <w:qFormat/>
    <w:rsid w:val="00D9185C"/>
    <w:pPr>
      <w:numPr>
        <w:numId w:val="6"/>
      </w:numPr>
    </w:pPr>
  </w:style>
  <w:style w:type="paragraph" w:customStyle="1" w:styleId="CharChar">
    <w:name w:val="(文字) (文字) Char (文字) (文字) Char"/>
    <w:basedOn w:val="Normal"/>
    <w:rsid w:val="004912FC"/>
    <w:pPr>
      <w:spacing w:after="160" w:line="240" w:lineRule="exact"/>
      <w:jc w:val="left"/>
    </w:pPr>
    <w:rPr>
      <w:rFonts w:ascii="Tahoma" w:hAnsi="Tahoma"/>
      <w:sz w:val="20"/>
    </w:rPr>
  </w:style>
  <w:style w:type="paragraph" w:customStyle="1" w:styleId="IPPSubheadSpace">
    <w:name w:val="IPP Subhead Space"/>
    <w:basedOn w:val="IPPSubhead"/>
    <w:qFormat/>
    <w:rsid w:val="00D9185C"/>
    <w:pPr>
      <w:tabs>
        <w:tab w:val="left" w:pos="567"/>
      </w:tabs>
      <w:spacing w:before="60" w:after="60"/>
    </w:pPr>
  </w:style>
  <w:style w:type="paragraph" w:customStyle="1" w:styleId="CarCar">
    <w:name w:val="Car Car"/>
    <w:basedOn w:val="Normal"/>
    <w:rsid w:val="00496907"/>
    <w:pPr>
      <w:spacing w:after="160" w:line="240" w:lineRule="exact"/>
      <w:jc w:val="left"/>
    </w:pPr>
    <w:rPr>
      <w:rFonts w:ascii="Tahoma" w:hAnsi="Tahoma"/>
      <w:sz w:val="20"/>
    </w:rPr>
  </w:style>
  <w:style w:type="paragraph" w:customStyle="1" w:styleId="IPPArialFootnote">
    <w:name w:val="IPP Arial Footnote"/>
    <w:basedOn w:val="IPPArialTable"/>
    <w:qFormat/>
    <w:rsid w:val="00D9185C"/>
    <w:pPr>
      <w:tabs>
        <w:tab w:val="left" w:pos="28"/>
      </w:tabs>
      <w:ind w:left="284" w:hanging="284"/>
    </w:pPr>
    <w:rPr>
      <w:sz w:val="16"/>
    </w:rPr>
  </w:style>
  <w:style w:type="paragraph" w:customStyle="1" w:styleId="IPPContentsHead">
    <w:name w:val="IPP ContentsHead"/>
    <w:basedOn w:val="IPPSubhead"/>
    <w:next w:val="IPPNormal"/>
    <w:qFormat/>
    <w:rsid w:val="00D9185C"/>
    <w:pPr>
      <w:spacing w:after="240"/>
    </w:pPr>
    <w:rPr>
      <w:sz w:val="24"/>
    </w:rPr>
  </w:style>
  <w:style w:type="paragraph" w:customStyle="1" w:styleId="IPPHdg1Num">
    <w:name w:val="IPP Hdg1Num"/>
    <w:basedOn w:val="IPPHeading1"/>
    <w:next w:val="IPPNormal"/>
    <w:qFormat/>
    <w:rsid w:val="00D9185C"/>
    <w:pPr>
      <w:numPr>
        <w:numId w:val="21"/>
      </w:numPr>
    </w:pPr>
  </w:style>
  <w:style w:type="paragraph" w:customStyle="1" w:styleId="IPPHdg2Num">
    <w:name w:val="IPP Hdg2Num"/>
    <w:basedOn w:val="IPPHeading2"/>
    <w:next w:val="IPPNormal"/>
    <w:qFormat/>
    <w:rsid w:val="00D9185C"/>
    <w:pPr>
      <w:numPr>
        <w:ilvl w:val="1"/>
        <w:numId w:val="22"/>
      </w:numPr>
    </w:pPr>
  </w:style>
  <w:style w:type="paragraph" w:customStyle="1" w:styleId="IPPIndentClose">
    <w:name w:val="IPP Indent Close"/>
    <w:basedOn w:val="IPPNormal"/>
    <w:qFormat/>
    <w:rsid w:val="00D9185C"/>
    <w:pPr>
      <w:tabs>
        <w:tab w:val="left" w:pos="2835"/>
      </w:tabs>
      <w:spacing w:after="60"/>
      <w:ind w:left="567"/>
    </w:pPr>
  </w:style>
  <w:style w:type="paragraph" w:customStyle="1" w:styleId="IPPIndent">
    <w:name w:val="IPP Indent"/>
    <w:basedOn w:val="IPPIndentClose"/>
    <w:qFormat/>
    <w:rsid w:val="00D9185C"/>
    <w:pPr>
      <w:spacing w:after="180"/>
    </w:pPr>
  </w:style>
  <w:style w:type="paragraph" w:customStyle="1" w:styleId="IPPNumberedListArial">
    <w:name w:val="IPP NumberedListArial"/>
    <w:basedOn w:val="IPPNumberedList"/>
    <w:qFormat/>
    <w:rsid w:val="00A83EFD"/>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rsid w:val="00D9185C"/>
    <w:pPr>
      <w:spacing w:after="60"/>
    </w:pPr>
  </w:style>
  <w:style w:type="character" w:customStyle="1" w:styleId="HeaderChar">
    <w:name w:val="Header Char"/>
    <w:link w:val="Header"/>
    <w:rsid w:val="00D9185C"/>
    <w:rPr>
      <w:rFonts w:eastAsia="MS Mincho"/>
      <w:sz w:val="22"/>
      <w:szCs w:val="24"/>
      <w:lang w:val="es-ES"/>
    </w:rPr>
  </w:style>
  <w:style w:type="character" w:customStyle="1" w:styleId="FooterChar">
    <w:name w:val="Footer Char"/>
    <w:link w:val="Footer"/>
    <w:rsid w:val="00D9185C"/>
    <w:rPr>
      <w:rFonts w:eastAsia="MS Mincho"/>
      <w:sz w:val="22"/>
      <w:szCs w:val="24"/>
      <w:lang w:val="es-ES"/>
    </w:rPr>
  </w:style>
  <w:style w:type="character" w:customStyle="1" w:styleId="IPPNormalChar">
    <w:name w:val="IPP Normal Char"/>
    <w:link w:val="IPPNormal"/>
    <w:rsid w:val="009647D0"/>
    <w:rPr>
      <w:rFonts w:eastAsia="Times"/>
      <w:sz w:val="22"/>
      <w:szCs w:val="24"/>
      <w:lang w:val="es-ES"/>
    </w:rPr>
  </w:style>
  <w:style w:type="paragraph" w:customStyle="1" w:styleId="Style">
    <w:name w:val="Style"/>
    <w:basedOn w:val="Footer"/>
    <w:autoRedefine/>
    <w:qFormat/>
    <w:rsid w:val="00D9185C"/>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link w:val="BalloonText"/>
    <w:rsid w:val="00D9185C"/>
    <w:rPr>
      <w:rFonts w:ascii="Tahoma" w:eastAsia="MS Mincho" w:hAnsi="Tahoma" w:cs="Tahoma"/>
      <w:sz w:val="16"/>
      <w:szCs w:val="16"/>
      <w:lang w:val="es-ES"/>
    </w:rPr>
  </w:style>
  <w:style w:type="paragraph" w:customStyle="1" w:styleId="IPPFootnote">
    <w:name w:val="IPP Footnote"/>
    <w:basedOn w:val="IPPArialFootnote"/>
    <w:qFormat/>
    <w:rsid w:val="00D9185C"/>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9185C"/>
    <w:pPr>
      <w:keepNext/>
      <w:tabs>
        <w:tab w:val="left" w:pos="567"/>
      </w:tabs>
      <w:spacing w:before="120" w:after="120"/>
      <w:ind w:left="567" w:hanging="567"/>
    </w:pPr>
    <w:rPr>
      <w:b/>
      <w:i/>
    </w:rPr>
  </w:style>
  <w:style w:type="character" w:customStyle="1" w:styleId="IPPnormalitalics">
    <w:name w:val="IPP normal italics"/>
    <w:rsid w:val="00D9185C"/>
    <w:rPr>
      <w:rFonts w:ascii="Times New Roman" w:hAnsi="Times New Roman"/>
      <w:i/>
      <w:sz w:val="22"/>
      <w:lang w:val="es-ES"/>
    </w:rPr>
  </w:style>
  <w:style w:type="character" w:customStyle="1" w:styleId="IPPNormalbold">
    <w:name w:val="IPP Normal bold"/>
    <w:rsid w:val="00D9185C"/>
    <w:rPr>
      <w:rFonts w:ascii="Times New Roman" w:eastAsia="Times" w:hAnsi="Times New Roman"/>
      <w:b/>
      <w:sz w:val="22"/>
      <w:szCs w:val="21"/>
      <w:lang w:val="es-ES" w:eastAsia="en-US"/>
    </w:rPr>
  </w:style>
  <w:style w:type="character" w:customStyle="1" w:styleId="IPPNormalunderlined">
    <w:name w:val="IPP Normal underlined"/>
    <w:rsid w:val="00D9185C"/>
    <w:rPr>
      <w:rFonts w:ascii="Times New Roman" w:hAnsi="Times New Roman"/>
      <w:sz w:val="22"/>
      <w:u w:val="single"/>
      <w:lang w:val="es-ES"/>
    </w:rPr>
  </w:style>
  <w:style w:type="character" w:customStyle="1" w:styleId="IPPNormalstrikethrough">
    <w:name w:val="IPP Normal strikethrough"/>
    <w:rsid w:val="00D9185C"/>
    <w:rPr>
      <w:rFonts w:ascii="Times New Roman" w:hAnsi="Times New Roman"/>
      <w:strike/>
      <w:dstrike w:val="0"/>
      <w:sz w:val="22"/>
    </w:rPr>
  </w:style>
  <w:style w:type="paragraph" w:customStyle="1" w:styleId="IPPHeader">
    <w:name w:val="IPP Header"/>
    <w:basedOn w:val="Normal"/>
    <w:qFormat/>
    <w:rsid w:val="00D9185C"/>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rsid w:val="00D9185C"/>
    <w:pPr>
      <w:numPr>
        <w:numId w:val="7"/>
      </w:numPr>
    </w:pPr>
  </w:style>
  <w:style w:type="paragraph" w:customStyle="1" w:styleId="IPPFooter">
    <w:name w:val="IPP Footer"/>
    <w:basedOn w:val="IPPHeader"/>
    <w:next w:val="PlainText"/>
    <w:qFormat/>
    <w:rsid w:val="00D9185C"/>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rsid w:val="00D9185C"/>
    <w:pPr>
      <w:pBdr>
        <w:bottom w:val="single" w:sz="4" w:space="1" w:color="auto"/>
      </w:pBdr>
      <w:tabs>
        <w:tab w:val="clear" w:pos="9072"/>
        <w:tab w:val="right" w:pos="14034"/>
      </w:tabs>
      <w:spacing w:after="0"/>
      <w:ind w:right="-32"/>
    </w:pPr>
    <w:rPr>
      <w:noProof/>
    </w:rPr>
  </w:style>
  <w:style w:type="paragraph" w:customStyle="1" w:styleId="IPPFooterLandscape">
    <w:name w:val="IPP Footer Landscape"/>
    <w:basedOn w:val="IPPHeaderlandscape"/>
    <w:qFormat/>
    <w:rsid w:val="00D9185C"/>
    <w:pPr>
      <w:pBdr>
        <w:top w:val="single" w:sz="4" w:space="1" w:color="auto"/>
        <w:bottom w:val="none" w:sz="0" w:space="0" w:color="auto"/>
      </w:pBdr>
      <w:jc w:val="right"/>
    </w:pPr>
    <w:rPr>
      <w:b/>
    </w:rPr>
  </w:style>
  <w:style w:type="character" w:styleId="Strong">
    <w:name w:val="Strong"/>
    <w:qFormat/>
    <w:rsid w:val="00D9185C"/>
    <w:rPr>
      <w:b/>
      <w:bCs/>
    </w:rPr>
  </w:style>
  <w:style w:type="paragraph" w:styleId="ListParagraph">
    <w:name w:val="List Paragraph"/>
    <w:basedOn w:val="Normal"/>
    <w:uiPriority w:val="34"/>
    <w:qFormat/>
    <w:rsid w:val="00D9185C"/>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rsid w:val="00D9185C"/>
    <w:pPr>
      <w:numPr>
        <w:numId w:val="24"/>
      </w:numPr>
    </w:pPr>
  </w:style>
  <w:style w:type="paragraph" w:customStyle="1" w:styleId="IPPParagraphnumberingclose">
    <w:name w:val="IPP Paragraph numbering close"/>
    <w:basedOn w:val="IPPParagraphnumbering"/>
    <w:qFormat/>
    <w:rsid w:val="00D9185C"/>
    <w:pPr>
      <w:keepNext/>
      <w:spacing w:after="60"/>
    </w:pPr>
  </w:style>
  <w:style w:type="paragraph" w:customStyle="1" w:styleId="IPPPargraphnumbering">
    <w:name w:val="IPP Pargraph numbering"/>
    <w:basedOn w:val="IPPNormal"/>
    <w:qFormat/>
    <w:rsid w:val="009647D0"/>
    <w:pPr>
      <w:tabs>
        <w:tab w:val="num" w:pos="360"/>
      </w:tabs>
    </w:pPr>
  </w:style>
  <w:style w:type="character" w:customStyle="1" w:styleId="UnresolvedMention1">
    <w:name w:val="Unresolved Mention1"/>
    <w:uiPriority w:val="99"/>
    <w:semiHidden/>
    <w:unhideWhenUsed/>
    <w:rsid w:val="005E2DEE"/>
    <w:rPr>
      <w:color w:val="605E5C"/>
      <w:shd w:val="clear" w:color="auto" w:fill="E1DFDD"/>
    </w:rPr>
  </w:style>
  <w:style w:type="paragraph" w:styleId="Revision">
    <w:name w:val="Revision"/>
    <w:hidden/>
    <w:semiHidden/>
    <w:rsid w:val="00E13AE1"/>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pc@fao.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pc.int/es/core-activities/standards-setting/list-topics-ippc-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s/core-activ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F1EC0-82C1-4C38-A6A3-47B2F9B2F523}">
  <ds:schemaRefs>
    <ds:schemaRef ds:uri="http://schemas.microsoft.com/sharepoint/v3/contenttype/forms"/>
  </ds:schemaRefs>
</ds:datastoreItem>
</file>

<file path=customXml/itemProps2.xml><?xml version="1.0" encoding="utf-8"?>
<ds:datastoreItem xmlns:ds="http://schemas.openxmlformats.org/officeDocument/2006/customXml" ds:itemID="{1FAA1629-0572-4D44-8BFD-5CE2E2278BE5}"/>
</file>

<file path=customXml/itemProps3.xml><?xml version="1.0" encoding="utf-8"?>
<ds:datastoreItem xmlns:ds="http://schemas.openxmlformats.org/officeDocument/2006/customXml" ds:itemID="{9EDE3261-0CA2-46EC-B4C3-6D914A8C8E11}">
  <ds:schemaRefs>
    <ds:schemaRef ds:uri="http://schemas.microsoft.com/office/2006/metadata/properties"/>
    <ds:schemaRef ds:uri="http://schemas.microsoft.com/office/infopath/2007/PartnerControls"/>
    <ds:schemaRef ds:uri="3c9ac98d-36e3-464e-9a3d-571690e2b8cf"/>
  </ds:schemaRefs>
</ds:datastoreItem>
</file>

<file path=customXml/itemProps4.xml><?xml version="1.0" encoding="utf-8"?>
<ds:datastoreItem xmlns:ds="http://schemas.openxmlformats.org/officeDocument/2006/customXml" ds:itemID="{376C498F-A7CF-46CF-9A68-60E31657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206</TotalTime>
  <Pages>4</Pages>
  <Words>1635</Words>
  <Characters>9324</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IPPC-Styles</vt:lpstr>
      <vt:lpstr>IPPC-Styles</vt:lpstr>
    </vt:vector>
  </TitlesOfParts>
  <Company>FAO of the UN</Company>
  <LinksUpToDate>false</LinksUpToDate>
  <CharactersWithSpaces>10938</CharactersWithSpaces>
  <SharedDoc>false</SharedDoc>
  <HyperlinkBase/>
  <HLinks>
    <vt:vector size="18" baseType="variant">
      <vt:variant>
        <vt:i4>393279</vt:i4>
      </vt:variant>
      <vt:variant>
        <vt:i4>6</vt:i4>
      </vt:variant>
      <vt:variant>
        <vt:i4>0</vt:i4>
      </vt:variant>
      <vt:variant>
        <vt:i4>5</vt:i4>
      </vt:variant>
      <vt:variant>
        <vt:lpwstr>mailto:ippc@fao.org</vt:lpwstr>
      </vt:variant>
      <vt:variant>
        <vt:lpwstr/>
      </vt:variant>
      <vt:variant>
        <vt:i4>1114179</vt:i4>
      </vt:variant>
      <vt:variant>
        <vt:i4>3</vt:i4>
      </vt:variant>
      <vt:variant>
        <vt:i4>0</vt:i4>
      </vt:variant>
      <vt:variant>
        <vt:i4>5</vt:i4>
      </vt:variant>
      <vt:variant>
        <vt:lpwstr>https://www.ippc.int/core-activities/standards-setting/list-topics-ippc-standards</vt:lpwstr>
      </vt:variant>
      <vt:variant>
        <vt:lpwstr/>
      </vt:variant>
      <vt:variant>
        <vt:i4>5963805</vt:i4>
      </vt:variant>
      <vt:variant>
        <vt:i4>0</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DelGreco, Aixa (NSPD)</cp:lastModifiedBy>
  <cp:revision>11</cp:revision>
  <cp:lastPrinted>2023-04-19T14:29:00Z</cp:lastPrinted>
  <dcterms:created xsi:type="dcterms:W3CDTF">2023-04-19T10:32:00Z</dcterms:created>
  <dcterms:modified xsi:type="dcterms:W3CDTF">2023-04-24T10:10:00Z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ies>
</file>